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88" w:rsidRPr="00930897" w:rsidRDefault="00925E81">
      <w:pPr>
        <w:jc w:val="center"/>
        <w:rPr>
          <w:rFonts w:ascii="Verdana" w:hAnsi="Verdana" w:cs="Calibri"/>
          <w:b/>
          <w:caps/>
          <w:sz w:val="16"/>
          <w:szCs w:val="16"/>
        </w:rPr>
      </w:pPr>
      <w:r w:rsidRPr="00930897">
        <w:rPr>
          <w:rFonts w:ascii="Verdana" w:hAnsi="Verdana" w:cs="Calibri"/>
          <w:b/>
          <w:cap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-4445</wp:posOffset>
            </wp:positionV>
            <wp:extent cx="552450" cy="5558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F54" w:rsidRPr="00930897">
        <w:rPr>
          <w:rFonts w:ascii="Verdana" w:hAnsi="Verdana" w:cs="Calibri"/>
          <w:b/>
          <w:caps/>
        </w:rPr>
        <w:t>R</w:t>
      </w:r>
      <w:r w:rsidR="00B05288" w:rsidRPr="00930897">
        <w:rPr>
          <w:rFonts w:ascii="Verdana" w:hAnsi="Verdana" w:cs="Calibri"/>
          <w:b/>
          <w:caps/>
        </w:rPr>
        <w:t xml:space="preserve">esponsable </w:t>
      </w:r>
      <w:r w:rsidR="00C25345" w:rsidRPr="00930897">
        <w:rPr>
          <w:rFonts w:ascii="Verdana" w:hAnsi="Verdana" w:cs="Calibri"/>
          <w:b/>
          <w:caps/>
        </w:rPr>
        <w:t>ACHATS ET</w:t>
      </w:r>
      <w:r w:rsidR="00B05288" w:rsidRPr="00930897">
        <w:rPr>
          <w:rFonts w:ascii="Verdana" w:hAnsi="Verdana" w:cs="Calibri"/>
          <w:b/>
          <w:caps/>
        </w:rPr>
        <w:t xml:space="preserve"> commande publique</w:t>
      </w:r>
      <w:r w:rsidR="00840AC4" w:rsidRPr="00930897">
        <w:rPr>
          <w:rFonts w:ascii="Verdana" w:hAnsi="Verdana" w:cs="Calibri"/>
          <w:b/>
          <w:caps/>
        </w:rPr>
        <w:t xml:space="preserve"> </w:t>
      </w:r>
      <w:r w:rsidR="00840AC4" w:rsidRPr="00930897">
        <w:rPr>
          <w:rFonts w:ascii="Verdana" w:hAnsi="Verdana" w:cs="Calibri"/>
          <w:b/>
          <w:caps/>
          <w:sz w:val="16"/>
          <w:szCs w:val="16"/>
        </w:rPr>
        <w:t>(H/F)</w:t>
      </w:r>
    </w:p>
    <w:p w:rsidR="00B05288" w:rsidRDefault="00B05288">
      <w:pPr>
        <w:jc w:val="center"/>
        <w:rPr>
          <w:rFonts w:ascii="Verdana" w:hAnsi="Verdana" w:cs="Calibri"/>
          <w:sz w:val="20"/>
          <w:szCs w:val="20"/>
        </w:rPr>
      </w:pPr>
    </w:p>
    <w:p w:rsidR="00DE07F4" w:rsidRDefault="00DE07F4">
      <w:pPr>
        <w:jc w:val="center"/>
        <w:rPr>
          <w:rFonts w:ascii="Verdana" w:hAnsi="Verdana" w:cs="Calibri"/>
          <w:sz w:val="20"/>
          <w:szCs w:val="20"/>
        </w:rPr>
      </w:pPr>
    </w:p>
    <w:p w:rsidR="00FD2F54" w:rsidRDefault="00616D83">
      <w:pPr>
        <w:pStyle w:val="Titre5"/>
        <w:rPr>
          <w:rFonts w:ascii="Verdana" w:hAnsi="Verdana" w:cs="Calibri"/>
          <w:b/>
          <w:i w:val="0"/>
          <w:iCs w:val="0"/>
          <w:sz w:val="16"/>
          <w:szCs w:val="16"/>
        </w:rPr>
      </w:pPr>
      <w:r w:rsidRPr="00925E81">
        <w:rPr>
          <w:rFonts w:ascii="Verdana" w:hAnsi="Verdana" w:cs="Calibri"/>
          <w:b/>
          <w:i w:val="0"/>
          <w:iCs w:val="0"/>
          <w:sz w:val="16"/>
          <w:szCs w:val="16"/>
        </w:rPr>
        <w:t xml:space="preserve">Pôle ressources et transformation - PRT/Direction des finances et de la commande publique </w:t>
      </w:r>
      <w:r w:rsidR="00FD2F54">
        <w:rPr>
          <w:rFonts w:ascii="Verdana" w:hAnsi="Verdana" w:cs="Calibri"/>
          <w:b/>
          <w:i w:val="0"/>
          <w:iCs w:val="0"/>
          <w:sz w:val="16"/>
          <w:szCs w:val="16"/>
        </w:rPr>
        <w:t>-</w:t>
      </w:r>
      <w:r w:rsidRPr="00925E81">
        <w:rPr>
          <w:rFonts w:ascii="Verdana" w:hAnsi="Verdana" w:cs="Calibri"/>
          <w:b/>
          <w:i w:val="0"/>
          <w:iCs w:val="0"/>
          <w:sz w:val="16"/>
          <w:szCs w:val="16"/>
        </w:rPr>
        <w:t xml:space="preserve"> DFCP/</w:t>
      </w:r>
    </w:p>
    <w:p w:rsidR="00616D83" w:rsidRPr="00925E81" w:rsidRDefault="00616D83">
      <w:pPr>
        <w:pStyle w:val="Titre5"/>
        <w:rPr>
          <w:rFonts w:ascii="Verdana" w:hAnsi="Verdana" w:cs="Calibri"/>
          <w:b/>
          <w:i w:val="0"/>
          <w:iCs w:val="0"/>
          <w:sz w:val="16"/>
          <w:szCs w:val="16"/>
        </w:rPr>
      </w:pPr>
      <w:r w:rsidRPr="00925E81">
        <w:rPr>
          <w:rFonts w:ascii="Verdana" w:hAnsi="Verdana" w:cs="Calibri"/>
          <w:b/>
          <w:i w:val="0"/>
          <w:iCs w:val="0"/>
          <w:sz w:val="16"/>
          <w:szCs w:val="16"/>
        </w:rPr>
        <w:t>Service de la commande publique et achat</w:t>
      </w:r>
    </w:p>
    <w:p w:rsidR="00B05288" w:rsidRPr="00925E81" w:rsidRDefault="00616D83">
      <w:pPr>
        <w:pStyle w:val="Titre5"/>
        <w:rPr>
          <w:rFonts w:ascii="Verdana" w:hAnsi="Verdana" w:cs="Calibri"/>
          <w:sz w:val="16"/>
          <w:szCs w:val="16"/>
        </w:rPr>
      </w:pPr>
      <w:r w:rsidRPr="00930897">
        <w:rPr>
          <w:rFonts w:ascii="Verdana" w:hAnsi="Verdana" w:cs="Calibri"/>
          <w:sz w:val="16"/>
          <w:szCs w:val="16"/>
          <w:u w:val="single"/>
        </w:rPr>
        <w:t>Lieu de travail</w:t>
      </w:r>
      <w:r w:rsidRPr="00925E81">
        <w:rPr>
          <w:rFonts w:ascii="Verdana" w:hAnsi="Verdana" w:cs="Calibri"/>
          <w:sz w:val="16"/>
          <w:szCs w:val="16"/>
        </w:rPr>
        <w:t xml:space="preserve"> : </w:t>
      </w:r>
      <w:r w:rsidR="00B05288" w:rsidRPr="00925E81">
        <w:rPr>
          <w:rFonts w:ascii="Verdana" w:hAnsi="Verdana" w:cs="Calibri"/>
          <w:sz w:val="16"/>
          <w:szCs w:val="16"/>
        </w:rPr>
        <w:t xml:space="preserve">Hôtel de Ville </w:t>
      </w:r>
    </w:p>
    <w:p w:rsidR="00B05288" w:rsidRPr="00925E81" w:rsidRDefault="00B05288">
      <w:pPr>
        <w:rPr>
          <w:rFonts w:ascii="Verdana" w:hAnsi="Verdana" w:cs="Calibri"/>
          <w:sz w:val="16"/>
          <w:szCs w:val="16"/>
        </w:rPr>
      </w:pPr>
    </w:p>
    <w:tbl>
      <w:tblPr>
        <w:tblW w:w="11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2730"/>
        <w:gridCol w:w="3049"/>
        <w:gridCol w:w="2407"/>
      </w:tblGrid>
      <w:tr w:rsidR="007D44CD" w:rsidRPr="00925E81" w:rsidTr="007D44CD">
        <w:trPr>
          <w:trHeight w:val="729"/>
          <w:jc w:val="center"/>
        </w:trPr>
        <w:tc>
          <w:tcPr>
            <w:tcW w:w="5702" w:type="dxa"/>
            <w:gridSpan w:val="2"/>
            <w:tcBorders>
              <w:right w:val="dashed" w:sz="8" w:space="0" w:color="auto"/>
            </w:tcBorders>
          </w:tcPr>
          <w:p w:rsidR="007D44CD" w:rsidRPr="00925E81" w:rsidRDefault="007D44CD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7D44CD" w:rsidRPr="00925E81" w:rsidRDefault="007D44CD" w:rsidP="007D44CD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Catégorie :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 A</w:t>
            </w:r>
          </w:p>
          <w:p w:rsidR="007D44CD" w:rsidRPr="00925E81" w:rsidRDefault="007D44CD" w:rsidP="007D44CD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Filière :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 Administrative</w:t>
            </w:r>
          </w:p>
          <w:p w:rsidR="007D44CD" w:rsidRPr="00925E81" w:rsidRDefault="007D44CD" w:rsidP="007D44CD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Cadre d’emplois :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 Attachés territoriaux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:rsidR="007D44CD" w:rsidRPr="00925E81" w:rsidRDefault="007D44CD" w:rsidP="007D44CD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7D44CD" w:rsidRPr="00925E81" w:rsidRDefault="007D44CD" w:rsidP="007D44CD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7D44CD" w:rsidRPr="00925E81" w:rsidRDefault="007D44CD" w:rsidP="007D44C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bCs/>
                <w:sz w:val="16"/>
                <w:szCs w:val="16"/>
              </w:rPr>
              <w:t>A4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7D44CD" w:rsidRPr="00925E81" w:rsidRDefault="007D44CD" w:rsidP="007D44CD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7D44CD" w:rsidRPr="00925E81" w:rsidRDefault="007D44CD" w:rsidP="007D44CD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7D44CD" w:rsidRDefault="007D44CD" w:rsidP="007D44C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Temps complet</w:t>
            </w:r>
          </w:p>
          <w:p w:rsidR="007D44CD" w:rsidRPr="00925E81" w:rsidRDefault="00FD2F54" w:rsidP="00FD2F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Régime de 3</w:t>
            </w:r>
            <w:r w:rsidR="001217D9">
              <w:rPr>
                <w:rFonts w:ascii="Verdana" w:hAnsi="Verdana" w:cs="Calibri"/>
                <w:sz w:val="16"/>
                <w:szCs w:val="16"/>
              </w:rPr>
              <w:t>9</w:t>
            </w:r>
            <w:r>
              <w:rPr>
                <w:rFonts w:ascii="Verdana" w:hAnsi="Verdana" w:cs="Calibri"/>
                <w:sz w:val="16"/>
                <w:szCs w:val="16"/>
              </w:rPr>
              <w:t>h</w:t>
            </w:r>
          </w:p>
        </w:tc>
      </w:tr>
      <w:tr w:rsidR="00B05288" w:rsidRPr="00925E81" w:rsidTr="001217D9">
        <w:trPr>
          <w:trHeight w:val="622"/>
          <w:jc w:val="center"/>
        </w:trPr>
        <w:tc>
          <w:tcPr>
            <w:tcW w:w="2972" w:type="dxa"/>
          </w:tcPr>
          <w:p w:rsidR="00B05288" w:rsidRPr="00925E81" w:rsidRDefault="00B0528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Situation fonctionnelle</w:t>
            </w:r>
          </w:p>
          <w:p w:rsidR="00B05288" w:rsidRPr="00925E81" w:rsidRDefault="00B05288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Référent hiérarchique</w:t>
            </w:r>
          </w:p>
          <w:p w:rsidR="00B05288" w:rsidRPr="00925E81" w:rsidRDefault="00B05288">
            <w:pPr>
              <w:ind w:left="36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B05288" w:rsidRPr="00925E81" w:rsidRDefault="00B05288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186" w:type="dxa"/>
            <w:gridSpan w:val="3"/>
          </w:tcPr>
          <w:p w:rsidR="00B05288" w:rsidRPr="00925E81" w:rsidRDefault="00B05288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B05288" w:rsidRPr="00925E81" w:rsidRDefault="00B05288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Directeur</w:t>
            </w:r>
            <w:r w:rsidR="00E74515" w:rsidRPr="00925E81">
              <w:rPr>
                <w:rFonts w:ascii="Verdana" w:hAnsi="Verdana" w:cs="Calibri"/>
                <w:sz w:val="16"/>
                <w:szCs w:val="16"/>
              </w:rPr>
              <w:t>(</w:t>
            </w:r>
            <w:proofErr w:type="spellStart"/>
            <w:r w:rsidR="00E74515" w:rsidRPr="00925E81">
              <w:rPr>
                <w:rFonts w:ascii="Verdana" w:hAnsi="Verdana" w:cs="Calibri"/>
                <w:sz w:val="16"/>
                <w:szCs w:val="16"/>
              </w:rPr>
              <w:t>trice</w:t>
            </w:r>
            <w:proofErr w:type="spellEnd"/>
            <w:r w:rsidR="00E74515" w:rsidRPr="00925E81">
              <w:rPr>
                <w:rFonts w:ascii="Verdana" w:hAnsi="Verdana" w:cs="Calibri"/>
                <w:sz w:val="16"/>
                <w:szCs w:val="16"/>
              </w:rPr>
              <w:t>)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 des finances et de la commande publique</w:t>
            </w:r>
            <w:r w:rsidR="009956C4">
              <w:rPr>
                <w:rFonts w:ascii="Verdana" w:hAnsi="Verdana" w:cs="Calibri"/>
                <w:sz w:val="16"/>
                <w:szCs w:val="16"/>
              </w:rPr>
              <w:t>.</w:t>
            </w:r>
          </w:p>
          <w:p w:rsidR="00FD2F54" w:rsidRDefault="00FD2F54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B05288" w:rsidRPr="00925E81" w:rsidRDefault="005B7906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 xml:space="preserve">Responsable de service, vous encadrez </w:t>
            </w:r>
            <w:r w:rsidR="006259EB">
              <w:rPr>
                <w:rFonts w:ascii="Verdana" w:hAnsi="Verdana" w:cs="Calibri"/>
                <w:sz w:val="16"/>
                <w:szCs w:val="16"/>
              </w:rPr>
              <w:t>6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 agents</w:t>
            </w:r>
            <w:r w:rsidR="006B72BD" w:rsidRPr="00925E81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B05288" w:rsidRPr="00925E81" w:rsidTr="001217D9">
        <w:trPr>
          <w:trHeight w:val="599"/>
          <w:jc w:val="center"/>
        </w:trPr>
        <w:tc>
          <w:tcPr>
            <w:tcW w:w="2972" w:type="dxa"/>
          </w:tcPr>
          <w:p w:rsidR="00B05288" w:rsidRPr="00925E81" w:rsidRDefault="00B0528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Relations fonctionnelles</w:t>
            </w:r>
          </w:p>
          <w:p w:rsidR="00B05288" w:rsidRPr="00925E81" w:rsidRDefault="00B05288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B05288" w:rsidRPr="00925E81" w:rsidRDefault="00B05288">
            <w:pPr>
              <w:ind w:left="36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B05288" w:rsidRPr="00925E81" w:rsidRDefault="00B05288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25E81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186" w:type="dxa"/>
            <w:gridSpan w:val="3"/>
          </w:tcPr>
          <w:p w:rsidR="00B05288" w:rsidRPr="00925E81" w:rsidRDefault="00B05288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B05288" w:rsidRPr="00925E81" w:rsidRDefault="00B05288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Relations régulières avec l’ensemble des services</w:t>
            </w:r>
            <w:r w:rsidR="001A5151" w:rsidRPr="00925E8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et </w:t>
            </w:r>
            <w:r w:rsidR="001A5151" w:rsidRPr="00925E81">
              <w:rPr>
                <w:rFonts w:ascii="Verdana" w:hAnsi="Verdana" w:cs="Calibri"/>
                <w:sz w:val="16"/>
                <w:szCs w:val="16"/>
              </w:rPr>
              <w:t>les membres de la C.A.O.</w:t>
            </w:r>
            <w:r w:rsidR="006B72BD" w:rsidRPr="00925E81">
              <w:rPr>
                <w:rFonts w:ascii="Verdana" w:hAnsi="Verdana" w:cs="Calibri"/>
                <w:sz w:val="16"/>
                <w:szCs w:val="16"/>
              </w:rPr>
              <w:t xml:space="preserve"> (commission d’appel d’offres)</w:t>
            </w:r>
            <w:r w:rsidR="009956C4">
              <w:rPr>
                <w:rFonts w:ascii="Verdana" w:hAnsi="Verdana" w:cs="Calibri"/>
                <w:sz w:val="16"/>
                <w:szCs w:val="16"/>
              </w:rPr>
              <w:t>.</w:t>
            </w:r>
          </w:p>
          <w:p w:rsidR="00B05288" w:rsidRPr="00925E81" w:rsidRDefault="00B05288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 xml:space="preserve">Echanges réguliers avec les différents partenaires extérieurs et institutionnels : entreprises, </w:t>
            </w:r>
            <w:r w:rsidR="006B72BD" w:rsidRPr="00925E81">
              <w:rPr>
                <w:rFonts w:ascii="Verdana" w:hAnsi="Verdana" w:cs="Calibri"/>
                <w:sz w:val="16"/>
                <w:szCs w:val="16"/>
              </w:rPr>
              <w:t xml:space="preserve">assistants à maître d’ouvrage, 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acteurs du contrôle de </w:t>
            </w:r>
            <w:r w:rsidR="00EA03F7" w:rsidRPr="00925E81">
              <w:rPr>
                <w:rFonts w:ascii="Verdana" w:hAnsi="Verdana" w:cs="Calibri"/>
                <w:sz w:val="16"/>
                <w:szCs w:val="16"/>
              </w:rPr>
              <w:t>légalité</w:t>
            </w:r>
            <w:r w:rsidR="001A5151" w:rsidRPr="00925E81">
              <w:rPr>
                <w:rFonts w:ascii="Verdana" w:hAnsi="Verdana" w:cs="Calibri"/>
                <w:sz w:val="16"/>
                <w:szCs w:val="16"/>
              </w:rPr>
              <w:t>, trésorerie municipale.</w:t>
            </w:r>
          </w:p>
        </w:tc>
      </w:tr>
      <w:tr w:rsidR="00B05288" w:rsidRPr="00925E81" w:rsidTr="001217D9">
        <w:trPr>
          <w:trHeight w:val="913"/>
          <w:jc w:val="center"/>
        </w:trPr>
        <w:tc>
          <w:tcPr>
            <w:tcW w:w="2972" w:type="dxa"/>
          </w:tcPr>
          <w:p w:rsidR="00B05288" w:rsidRPr="00925E81" w:rsidRDefault="00B0528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Mission principale</w:t>
            </w:r>
          </w:p>
        </w:tc>
        <w:tc>
          <w:tcPr>
            <w:tcW w:w="8186" w:type="dxa"/>
            <w:gridSpan w:val="3"/>
          </w:tcPr>
          <w:p w:rsidR="006259EB" w:rsidRPr="00537C12" w:rsidRDefault="003D2D32" w:rsidP="006B72BD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Au sein de la Direction, </w:t>
            </w:r>
            <w:r w:rsidR="00DB7090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>vous organisez et pilotez</w:t>
            </w:r>
            <w:r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les procédures de la commande publique</w:t>
            </w:r>
            <w:r w:rsidR="00DB7090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de la Ville et du CCAS (recensement</w:t>
            </w:r>
            <w:r w:rsidR="003846B8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>, définition et anticipation</w:t>
            </w:r>
            <w:r w:rsidR="00DB7090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des besoins, conduite des consultations, élaboration des dossiers, notification des </w:t>
            </w:r>
            <w:r w:rsidR="00616D83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>marchés, …</w:t>
            </w:r>
            <w:r w:rsidR="00DB7090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>),</w:t>
            </w:r>
            <w:r w:rsidR="00844A2C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dans un objectif de performance économique et de sécurité juridique</w:t>
            </w:r>
            <w:r w:rsidR="00C25345" w:rsidRPr="00537C12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  <w:r w:rsidR="00C25345" w:rsidRPr="00537C12">
              <w:rPr>
                <w:rFonts w:ascii="Verdana" w:hAnsi="Verdana" w:cs="Calibri"/>
                <w:b/>
                <w:sz w:val="16"/>
                <w:szCs w:val="16"/>
              </w:rPr>
              <w:t xml:space="preserve"> Vous participez à la définition de la politique achat de la collectivité</w:t>
            </w:r>
            <w:r w:rsidR="00C25345" w:rsidRPr="00537C12">
              <w:rPr>
                <w:rFonts w:ascii="Verdana" w:hAnsi="Verdana"/>
                <w:b/>
                <w:sz w:val="16"/>
                <w:szCs w:val="16"/>
              </w:rPr>
              <w:t>. Vous pilotez la réflexion sur la digitalisation des achats.</w:t>
            </w:r>
          </w:p>
        </w:tc>
      </w:tr>
      <w:tr w:rsidR="00B05288" w:rsidRPr="00925E81" w:rsidTr="001217D9">
        <w:trPr>
          <w:trHeight w:val="4633"/>
          <w:jc w:val="center"/>
        </w:trPr>
        <w:tc>
          <w:tcPr>
            <w:tcW w:w="2972" w:type="dxa"/>
          </w:tcPr>
          <w:p w:rsidR="00B05288" w:rsidRPr="00925E81" w:rsidRDefault="00B0528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Activités du poste</w:t>
            </w:r>
          </w:p>
        </w:tc>
        <w:tc>
          <w:tcPr>
            <w:tcW w:w="8186" w:type="dxa"/>
            <w:gridSpan w:val="3"/>
          </w:tcPr>
          <w:p w:rsidR="00C25345" w:rsidRPr="00925E81" w:rsidRDefault="00C25345" w:rsidP="00C25345">
            <w:pPr>
              <w:pStyle w:val="Titre3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Conseil et accompagnement des services</w:t>
            </w:r>
          </w:p>
          <w:p w:rsidR="00C25345" w:rsidRPr="00A62861" w:rsidRDefault="00C25345" w:rsidP="00C25345">
            <w:pPr>
              <w:pStyle w:val="Titre3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A6286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Assurer une mission d’assistance, de conseil et de transmission des connaissances aux services de la Ville et du CCAS</w:t>
            </w:r>
            <w:r w:rsidR="00A62861" w:rsidRPr="00A6286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.</w:t>
            </w:r>
          </w:p>
          <w:p w:rsidR="00287543" w:rsidRPr="00A62861" w:rsidRDefault="00287543" w:rsidP="0028754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A62861">
              <w:rPr>
                <w:rFonts w:ascii="Verdana" w:hAnsi="Verdana" w:cs="Calibri"/>
                <w:sz w:val="16"/>
                <w:szCs w:val="16"/>
              </w:rPr>
              <w:t>Coordonner</w:t>
            </w:r>
            <w:r w:rsidRPr="00A62861">
              <w:rPr>
                <w:rFonts w:ascii="Verdana" w:hAnsi="Verdana" w:cstheme="minorHAnsi"/>
                <w:bCs/>
                <w:sz w:val="16"/>
                <w:szCs w:val="16"/>
              </w:rPr>
              <w:t xml:space="preserve"> le recensement, la définition et l’anticipation des besoins</w:t>
            </w:r>
            <w:r w:rsidR="00A62861" w:rsidRPr="00A62861">
              <w:rPr>
                <w:rFonts w:ascii="Verdana" w:hAnsi="Verdana" w:cstheme="minorHAnsi"/>
                <w:bCs/>
                <w:sz w:val="16"/>
                <w:szCs w:val="16"/>
              </w:rPr>
              <w:t>.</w:t>
            </w:r>
          </w:p>
          <w:p w:rsidR="00287543" w:rsidRPr="00A62861" w:rsidRDefault="00287543" w:rsidP="0028754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A62861">
              <w:rPr>
                <w:rFonts w:ascii="Verdana" w:hAnsi="Verdana" w:cstheme="minorHAnsi"/>
                <w:sz w:val="16"/>
                <w:szCs w:val="16"/>
              </w:rPr>
              <w:t xml:space="preserve">Assurer une mission d’assistance et de conseil aux services : </w:t>
            </w:r>
            <w:r w:rsidRPr="00A62861">
              <w:rPr>
                <w:rFonts w:ascii="Verdana" w:hAnsi="Verdana"/>
                <w:sz w:val="16"/>
                <w:szCs w:val="16"/>
              </w:rPr>
              <w:t>planification, aide à l'expression des besoins, appui à la négociation, choix du montage contractuel et des procédures</w:t>
            </w:r>
            <w:r w:rsidR="00A62861" w:rsidRPr="00A62861">
              <w:rPr>
                <w:rFonts w:ascii="Verdana" w:hAnsi="Verdana"/>
                <w:sz w:val="16"/>
                <w:szCs w:val="16"/>
              </w:rPr>
              <w:t>.</w:t>
            </w:r>
          </w:p>
          <w:p w:rsidR="00A62861" w:rsidRPr="00A62861" w:rsidRDefault="00A62861" w:rsidP="002875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62861">
              <w:rPr>
                <w:rFonts w:ascii="Verdana" w:hAnsi="Verdana"/>
                <w:sz w:val="16"/>
                <w:szCs w:val="16"/>
              </w:rPr>
              <w:t>Améliorer la lisibilité et l’attractivité des cahiers des charges</w:t>
            </w:r>
            <w:r w:rsidR="00FD5F29">
              <w:rPr>
                <w:rFonts w:ascii="Verdana" w:hAnsi="Verdana"/>
                <w:sz w:val="16"/>
                <w:szCs w:val="16"/>
              </w:rPr>
              <w:t>.</w:t>
            </w:r>
          </w:p>
          <w:p w:rsidR="00FD5F29" w:rsidRDefault="00287543" w:rsidP="0028754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A62861">
              <w:rPr>
                <w:rFonts w:ascii="Verdana" w:hAnsi="Verdana" w:cs="Calibri"/>
                <w:sz w:val="16"/>
                <w:szCs w:val="16"/>
              </w:rPr>
              <w:t>Mettre en œuvre et suivre les procédures d’achats</w:t>
            </w:r>
            <w:r w:rsidR="00A62861" w:rsidRPr="00A62861">
              <w:rPr>
                <w:rFonts w:ascii="Verdana" w:hAnsi="Verdana" w:cs="Calibri"/>
                <w:sz w:val="16"/>
                <w:szCs w:val="16"/>
              </w:rPr>
              <w:t> </w:t>
            </w:r>
            <w:r w:rsidR="00FD5F29">
              <w:rPr>
                <w:rFonts w:ascii="Verdana" w:hAnsi="Verdana" w:cs="Calibri"/>
                <w:sz w:val="16"/>
                <w:szCs w:val="16"/>
              </w:rPr>
              <w:t>(jusqu’à la notification).</w:t>
            </w:r>
          </w:p>
          <w:p w:rsidR="00A62861" w:rsidRPr="00A62861" w:rsidRDefault="00A62861" w:rsidP="00C25345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A62861">
              <w:rPr>
                <w:rFonts w:ascii="Verdana" w:hAnsi="Verdana"/>
                <w:sz w:val="16"/>
                <w:szCs w:val="16"/>
              </w:rPr>
              <w:t xml:space="preserve">Saisir les </w:t>
            </w:r>
            <w:r>
              <w:rPr>
                <w:rFonts w:ascii="Verdana" w:hAnsi="Verdana"/>
                <w:sz w:val="16"/>
                <w:szCs w:val="16"/>
              </w:rPr>
              <w:t xml:space="preserve">opportunités de clauses </w:t>
            </w:r>
            <w:r w:rsidR="00537C12">
              <w:rPr>
                <w:rFonts w:ascii="Verdana" w:hAnsi="Verdana"/>
                <w:sz w:val="16"/>
                <w:szCs w:val="16"/>
              </w:rPr>
              <w:t>sociales et environnementales.</w:t>
            </w:r>
          </w:p>
          <w:p w:rsidR="00E4768F" w:rsidRPr="00A62861" w:rsidRDefault="00E4768F" w:rsidP="006B72B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A62861" w:rsidRPr="00925E81" w:rsidRDefault="00A62861" w:rsidP="00A62861">
            <w:pPr>
              <w:pStyle w:val="Titre3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 xml:space="preserve">Sécurisation juridique </w:t>
            </w:r>
            <w:r>
              <w:rPr>
                <w:rFonts w:ascii="Verdana" w:hAnsi="Verdana" w:cs="Calibri"/>
                <w:sz w:val="16"/>
                <w:szCs w:val="16"/>
              </w:rPr>
              <w:t>et veille</w:t>
            </w:r>
          </w:p>
          <w:p w:rsidR="00537C12" w:rsidRPr="00537C12" w:rsidRDefault="00537C12" w:rsidP="00537C1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</w:t>
            </w:r>
            <w:r w:rsidRPr="00537C12">
              <w:rPr>
                <w:rFonts w:ascii="Verdana" w:hAnsi="Verdana"/>
                <w:sz w:val="16"/>
                <w:szCs w:val="16"/>
              </w:rPr>
              <w:t>arantir le respect des grands principes de la commande publique : liberté d’accès à la commande publique, égalité de traitement des candidats et transparence des procédures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287543" w:rsidRPr="00537C12" w:rsidRDefault="00287543" w:rsidP="0028754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37C12">
              <w:rPr>
                <w:rFonts w:ascii="Verdana" w:hAnsi="Verdana" w:cs="Calibri"/>
                <w:sz w:val="16"/>
                <w:szCs w:val="16"/>
              </w:rPr>
              <w:t>Adapter les procédures de commande publique,</w:t>
            </w:r>
            <w:r w:rsidR="003968E8">
              <w:rPr>
                <w:rFonts w:ascii="Verdana" w:hAnsi="Verdana" w:cs="Calibri"/>
                <w:sz w:val="16"/>
                <w:szCs w:val="16"/>
              </w:rPr>
              <w:t xml:space="preserve"> en visant la simplification, </w:t>
            </w:r>
            <w:r w:rsidRPr="00537C12">
              <w:rPr>
                <w:rFonts w:ascii="Verdana" w:hAnsi="Verdana" w:cs="Calibri"/>
                <w:sz w:val="16"/>
                <w:szCs w:val="16"/>
              </w:rPr>
              <w:t>au fur et à mesure des évolutions légales et réglementaires</w:t>
            </w:r>
            <w:r w:rsidR="003968E8">
              <w:rPr>
                <w:rFonts w:ascii="Verdana" w:hAnsi="Verdana" w:cs="Calibri"/>
                <w:sz w:val="16"/>
                <w:szCs w:val="16"/>
              </w:rPr>
              <w:t>,</w:t>
            </w:r>
            <w:r w:rsidRPr="00537C12">
              <w:rPr>
                <w:rFonts w:ascii="Verdana" w:hAnsi="Verdana" w:cs="Calibri"/>
                <w:sz w:val="16"/>
                <w:szCs w:val="16"/>
              </w:rPr>
              <w:t xml:space="preserve"> et veiller à leur bonne application</w:t>
            </w:r>
            <w:r w:rsidR="00A62861" w:rsidRPr="00537C12">
              <w:rPr>
                <w:rFonts w:ascii="Verdana" w:hAnsi="Verdana" w:cs="Calibri"/>
                <w:sz w:val="16"/>
                <w:szCs w:val="16"/>
              </w:rPr>
              <w:t>.</w:t>
            </w:r>
          </w:p>
          <w:p w:rsidR="00A62861" w:rsidRDefault="00A62861" w:rsidP="00A62861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37C12">
              <w:rPr>
                <w:rFonts w:ascii="Verdana" w:hAnsi="Verdana" w:cs="Calibri"/>
                <w:sz w:val="16"/>
                <w:szCs w:val="16"/>
              </w:rPr>
              <w:t>Rédiger les documentations relatives aux marchés publics.</w:t>
            </w:r>
          </w:p>
          <w:p w:rsidR="00537C12" w:rsidRDefault="00537C12" w:rsidP="00A62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537C12">
              <w:rPr>
                <w:rFonts w:ascii="Verdana" w:hAnsi="Verdana"/>
                <w:sz w:val="16"/>
                <w:szCs w:val="16"/>
              </w:rPr>
              <w:t>ssurer une veille informative et une recherche permanente de solutions</w:t>
            </w:r>
            <w:r w:rsidR="00FD5F29">
              <w:rPr>
                <w:rFonts w:ascii="Verdana" w:hAnsi="Verdana"/>
                <w:sz w:val="16"/>
                <w:szCs w:val="16"/>
              </w:rPr>
              <w:t xml:space="preserve"> innovantes.</w:t>
            </w:r>
          </w:p>
          <w:p w:rsidR="00FD5F29" w:rsidRDefault="00FD5F29" w:rsidP="00A62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37C12" w:rsidRPr="00FD5F29" w:rsidRDefault="00FD5F29" w:rsidP="00A6286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D5F29">
              <w:rPr>
                <w:rFonts w:ascii="Verdana" w:hAnsi="Verdana"/>
                <w:b/>
                <w:sz w:val="16"/>
                <w:szCs w:val="16"/>
              </w:rPr>
              <w:t>M</w:t>
            </w:r>
            <w:r w:rsidR="00537C12" w:rsidRPr="00FD5F29">
              <w:rPr>
                <w:rFonts w:ascii="Verdana" w:hAnsi="Verdana"/>
                <w:b/>
                <w:sz w:val="16"/>
                <w:szCs w:val="16"/>
              </w:rPr>
              <w:t>ise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37C12" w:rsidRPr="00FD5F29">
              <w:rPr>
                <w:rFonts w:ascii="Verdana" w:hAnsi="Verdana"/>
                <w:b/>
                <w:sz w:val="16"/>
                <w:szCs w:val="16"/>
              </w:rPr>
              <w:t xml:space="preserve">en œuvre de la politique achat </w:t>
            </w:r>
            <w:r>
              <w:rPr>
                <w:rFonts w:ascii="Verdana" w:hAnsi="Verdana"/>
                <w:b/>
                <w:sz w:val="16"/>
                <w:szCs w:val="16"/>
              </w:rPr>
              <w:t>de la Ville</w:t>
            </w:r>
          </w:p>
          <w:p w:rsidR="00537C12" w:rsidRPr="00FD5F29" w:rsidRDefault="00537C12" w:rsidP="00A628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D5F29">
              <w:rPr>
                <w:rFonts w:ascii="Verdana" w:hAnsi="Verdana"/>
                <w:sz w:val="16"/>
                <w:szCs w:val="16"/>
              </w:rPr>
              <w:t xml:space="preserve">Généraliser le </w:t>
            </w:r>
            <w:proofErr w:type="spellStart"/>
            <w:r w:rsidRPr="00FD5F29">
              <w:rPr>
                <w:rFonts w:ascii="Verdana" w:hAnsi="Verdana"/>
                <w:sz w:val="16"/>
                <w:szCs w:val="16"/>
              </w:rPr>
              <w:t>sourcing</w:t>
            </w:r>
            <w:proofErr w:type="spellEnd"/>
            <w:r w:rsidRPr="00FD5F29">
              <w:rPr>
                <w:rFonts w:ascii="Verdana" w:hAnsi="Verdana"/>
                <w:sz w:val="16"/>
                <w:szCs w:val="16"/>
              </w:rPr>
              <w:t xml:space="preserve"> pour connaitre la structuration de l’offre des fournisseurs.</w:t>
            </w:r>
          </w:p>
          <w:p w:rsidR="00537C12" w:rsidRPr="00537C12" w:rsidRDefault="00537C12" w:rsidP="00FD5F2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537C12">
              <w:rPr>
                <w:rFonts w:ascii="Verdana" w:hAnsi="Verdana"/>
                <w:sz w:val="16"/>
                <w:szCs w:val="16"/>
              </w:rPr>
              <w:t>méliorer durablement la performance des achats tout en garantissant un niveau de service adapté aux besoins des directions</w:t>
            </w:r>
            <w:r w:rsidR="003968E8">
              <w:rPr>
                <w:rFonts w:ascii="Verdana" w:hAnsi="Verdana"/>
                <w:sz w:val="16"/>
                <w:szCs w:val="16"/>
              </w:rPr>
              <w:t>,</w:t>
            </w:r>
            <w:r w:rsidRPr="00537C12">
              <w:rPr>
                <w:rFonts w:ascii="Verdana" w:hAnsi="Verdana"/>
                <w:sz w:val="16"/>
                <w:szCs w:val="16"/>
              </w:rPr>
              <w:t xml:space="preserve"> et attendu par les usagers.</w:t>
            </w:r>
          </w:p>
          <w:p w:rsidR="00A62861" w:rsidRPr="00537C12" w:rsidRDefault="00A62861" w:rsidP="00A62861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</w:p>
          <w:p w:rsidR="00B05288" w:rsidRPr="00925E81" w:rsidRDefault="0004534F" w:rsidP="006B72BD">
            <w:pPr>
              <w:pStyle w:val="Titre3"/>
              <w:rPr>
                <w:rStyle w:val="textenormalbleum11"/>
                <w:rFonts w:ascii="Verdana" w:hAnsi="Verdana" w:cs="Calibri"/>
                <w:sz w:val="16"/>
                <w:szCs w:val="16"/>
              </w:rPr>
            </w:pPr>
            <w:r w:rsidRPr="00925E81">
              <w:rPr>
                <w:rStyle w:val="textenormalbleum11"/>
                <w:rFonts w:ascii="Verdana" w:hAnsi="Verdana" w:cs="Calibri"/>
                <w:sz w:val="16"/>
                <w:szCs w:val="16"/>
              </w:rPr>
              <w:t>Management et pilotage d’activité</w:t>
            </w:r>
          </w:p>
          <w:p w:rsidR="003968E8" w:rsidRDefault="009956C4" w:rsidP="006B72BD">
            <w:pPr>
              <w:jc w:val="both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Encadrer les agents, coordonner la planification des consultations</w:t>
            </w:r>
            <w:r w:rsidRPr="00925E8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et </w:t>
            </w:r>
            <w:r w:rsidRPr="00925E81">
              <w:rPr>
                <w:rFonts w:ascii="Verdana" w:hAnsi="Verdana" w:cs="Calibri"/>
                <w:sz w:val="16"/>
                <w:szCs w:val="16"/>
              </w:rPr>
              <w:t>l’activité du service</w:t>
            </w:r>
            <w:r w:rsidR="003968E8">
              <w:rPr>
                <w:rFonts w:ascii="Verdana" w:hAnsi="Verdana" w:cs="Calibri"/>
                <w:bCs/>
                <w:sz w:val="16"/>
                <w:szCs w:val="16"/>
              </w:rPr>
              <w:t>.</w:t>
            </w:r>
          </w:p>
          <w:p w:rsidR="003968E8" w:rsidRPr="002355E5" w:rsidRDefault="003968E8" w:rsidP="003968E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Mettre</w:t>
            </w:r>
            <w:r w:rsidRPr="002355E5">
              <w:rPr>
                <w:rFonts w:ascii="Verdana" w:hAnsi="Verdana" w:cs="Calibri"/>
                <w:sz w:val="16"/>
                <w:szCs w:val="16"/>
              </w:rPr>
              <w:t xml:space="preserve"> en place un système d’information dédié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aux achats, </w:t>
            </w:r>
            <w:r w:rsidRPr="002355E5">
              <w:rPr>
                <w:rStyle w:val="lev"/>
                <w:rFonts w:ascii="Verdana" w:hAnsi="Verdana"/>
                <w:b w:val="0"/>
                <w:sz w:val="16"/>
                <w:szCs w:val="16"/>
              </w:rPr>
              <w:t>automatisation de certaines tâches,</w:t>
            </w:r>
            <w:r w:rsidRPr="002355E5">
              <w:rPr>
                <w:rStyle w:val="lev"/>
                <w:rFonts w:ascii="Verdana" w:hAnsi="Verdana"/>
                <w:sz w:val="16"/>
                <w:szCs w:val="16"/>
              </w:rPr>
              <w:t xml:space="preserve"> </w:t>
            </w:r>
            <w:r w:rsidRPr="002355E5">
              <w:rPr>
                <w:rStyle w:val="lev"/>
                <w:rFonts w:ascii="Verdana" w:hAnsi="Verdana"/>
                <w:b w:val="0"/>
                <w:sz w:val="16"/>
                <w:szCs w:val="16"/>
              </w:rPr>
              <w:t>utilisation de l’intelligence artificielle.</w:t>
            </w:r>
          </w:p>
          <w:p w:rsidR="003968E8" w:rsidRPr="002355E5" w:rsidRDefault="003968E8" w:rsidP="003968E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Coordonner l</w:t>
            </w:r>
            <w:r>
              <w:rPr>
                <w:rFonts w:ascii="Verdana" w:hAnsi="Verdana" w:cs="Calibri"/>
                <w:sz w:val="16"/>
                <w:szCs w:val="16"/>
              </w:rPr>
              <w:t>a</w:t>
            </w:r>
            <w:r w:rsidRPr="002355E5">
              <w:rPr>
                <w:rFonts w:ascii="Verdana" w:hAnsi="Verdana" w:cs="Calibri"/>
                <w:sz w:val="16"/>
                <w:szCs w:val="16"/>
              </w:rPr>
              <w:t xml:space="preserve"> Gestion électronique des documents.</w:t>
            </w:r>
          </w:p>
          <w:p w:rsidR="003968E8" w:rsidRPr="002355E5" w:rsidRDefault="003968E8" w:rsidP="003968E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Assurer le déploiement d’outils de pilotage et tableaux de bord.</w:t>
            </w:r>
          </w:p>
          <w:p w:rsidR="00B05288" w:rsidRPr="009956C4" w:rsidRDefault="003968E8" w:rsidP="003968E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Mettre en œuvre les obligations en matière d’open data de la commande publique</w:t>
            </w:r>
            <w:r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B05288" w:rsidRPr="00925E81" w:rsidTr="001217D9">
        <w:trPr>
          <w:trHeight w:val="1136"/>
          <w:jc w:val="center"/>
        </w:trPr>
        <w:tc>
          <w:tcPr>
            <w:tcW w:w="2972" w:type="dxa"/>
          </w:tcPr>
          <w:p w:rsidR="00B05288" w:rsidRPr="00925E81" w:rsidRDefault="00B0528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Compétences et qualités professionnelles requises</w:t>
            </w:r>
          </w:p>
        </w:tc>
        <w:tc>
          <w:tcPr>
            <w:tcW w:w="8186" w:type="dxa"/>
            <w:gridSpan w:val="3"/>
          </w:tcPr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Formation supérieure dans le domaine juridique</w:t>
            </w:r>
          </w:p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 xml:space="preserve">Parfaite connaissance de la législation et de la réglementation relative </w:t>
            </w:r>
            <w:r>
              <w:rPr>
                <w:rFonts w:ascii="Verdana" w:hAnsi="Verdana" w:cs="Calibri"/>
                <w:sz w:val="16"/>
                <w:szCs w:val="16"/>
              </w:rPr>
              <w:t>à la commande publique</w:t>
            </w:r>
            <w:r w:rsidRPr="002355E5">
              <w:rPr>
                <w:rFonts w:ascii="Verdana" w:hAnsi="Verdana" w:cs="Calibri"/>
                <w:sz w:val="16"/>
                <w:szCs w:val="16"/>
              </w:rPr>
              <w:t xml:space="preserve"> et expérience dans le domaine souhaitée</w:t>
            </w:r>
          </w:p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Maitrise des outils bureautiques et informatiques et appétence pour la dématérialisation et la simplification des procédures</w:t>
            </w:r>
          </w:p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Sens du travail en équipe et compétences managériales avérées</w:t>
            </w:r>
          </w:p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Capacité à faire évoluer les organisations et à travailler dans un environnement pluridisciplinaire</w:t>
            </w:r>
          </w:p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Qualités relationnelles, capacité à faire preuve de pédagogie, de conseil et d’accompagnement</w:t>
            </w:r>
          </w:p>
          <w:p w:rsidR="009956C4" w:rsidRPr="002355E5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Esprit de synthèse et d’analyse, bonne capacité rédactionnelle</w:t>
            </w:r>
            <w:bookmarkStart w:id="0" w:name="_GoBack"/>
            <w:bookmarkEnd w:id="0"/>
          </w:p>
          <w:p w:rsidR="00B05288" w:rsidRPr="00925E81" w:rsidRDefault="009956C4" w:rsidP="009956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355E5">
              <w:rPr>
                <w:rFonts w:ascii="Verdana" w:hAnsi="Verdana" w:cs="Calibri"/>
                <w:sz w:val="16"/>
                <w:szCs w:val="16"/>
              </w:rPr>
              <w:t>Rigueur, organisation, discrétion</w:t>
            </w:r>
            <w:r w:rsidR="0093089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2355E5">
              <w:rPr>
                <w:rFonts w:ascii="Verdana" w:hAnsi="Verdana" w:cs="Calibri"/>
                <w:sz w:val="16"/>
                <w:szCs w:val="16"/>
              </w:rPr>
              <w:t>Autonomie et prise d’initiative</w:t>
            </w:r>
            <w:r w:rsidR="00930897">
              <w:rPr>
                <w:rFonts w:ascii="Verdana" w:hAnsi="Verdana" w:cs="Calibri"/>
                <w:sz w:val="16"/>
                <w:szCs w:val="16"/>
              </w:rPr>
              <w:t xml:space="preserve"> – Sens du service public</w:t>
            </w:r>
          </w:p>
        </w:tc>
      </w:tr>
      <w:tr w:rsidR="00B05288" w:rsidRPr="00925E81" w:rsidTr="001217D9">
        <w:trPr>
          <w:trHeight w:val="108"/>
          <w:jc w:val="center"/>
        </w:trPr>
        <w:tc>
          <w:tcPr>
            <w:tcW w:w="2972" w:type="dxa"/>
          </w:tcPr>
          <w:p w:rsidR="00B05288" w:rsidRPr="00925E81" w:rsidRDefault="00B0528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>Observations</w:t>
            </w:r>
          </w:p>
        </w:tc>
        <w:tc>
          <w:tcPr>
            <w:tcW w:w="8186" w:type="dxa"/>
            <w:gridSpan w:val="3"/>
          </w:tcPr>
          <w:p w:rsidR="00B05288" w:rsidRPr="00925E81" w:rsidRDefault="006B72BD" w:rsidP="006B72BD">
            <w:pPr>
              <w:numPr>
                <w:ilvl w:val="0"/>
                <w:numId w:val="5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25E81">
              <w:rPr>
                <w:rFonts w:ascii="Verdana" w:hAnsi="Verdana" w:cs="Calibri"/>
                <w:sz w:val="16"/>
                <w:szCs w:val="16"/>
              </w:rPr>
              <w:t xml:space="preserve">Ce poste est assorti de </w:t>
            </w:r>
            <w:r w:rsidRPr="00925E81">
              <w:rPr>
                <w:rFonts w:ascii="Verdana" w:hAnsi="Verdana" w:cs="Calibri"/>
                <w:sz w:val="16"/>
                <w:szCs w:val="16"/>
                <w:u w:val="single"/>
              </w:rPr>
              <w:t>la NBI </w:t>
            </w:r>
            <w:r w:rsidRPr="00925E81">
              <w:rPr>
                <w:rFonts w:ascii="Verdana" w:hAnsi="Verdana" w:cs="Calibri"/>
                <w:sz w:val="16"/>
                <w:szCs w:val="16"/>
              </w:rPr>
              <w:t>encadrement d’un service administratif requérant une technicité (décret n° 2006-779)</w:t>
            </w:r>
            <w:r w:rsidR="001217D9">
              <w:rPr>
                <w:rFonts w:ascii="Verdana" w:hAnsi="Verdana" w:cs="Calibri"/>
                <w:sz w:val="16"/>
                <w:szCs w:val="16"/>
              </w:rPr>
              <w:t>, sous réserve que les conditions d’octroi soient remplies.</w:t>
            </w:r>
          </w:p>
        </w:tc>
      </w:tr>
    </w:tbl>
    <w:p w:rsidR="00B05288" w:rsidRPr="00925E81" w:rsidRDefault="00B05288">
      <w:pPr>
        <w:rPr>
          <w:rFonts w:ascii="Verdana" w:hAnsi="Verdana" w:cs="Calibri"/>
          <w:sz w:val="16"/>
          <w:szCs w:val="16"/>
        </w:rPr>
      </w:pPr>
    </w:p>
    <w:p w:rsidR="006B72BD" w:rsidRPr="00925E81" w:rsidRDefault="006B72BD">
      <w:pPr>
        <w:rPr>
          <w:rFonts w:ascii="Verdana" w:hAnsi="Verdana" w:cs="Calibri"/>
          <w:sz w:val="16"/>
          <w:szCs w:val="16"/>
        </w:rPr>
      </w:pPr>
    </w:p>
    <w:sectPr w:rsidR="006B72BD" w:rsidRPr="00925E81" w:rsidSect="0093089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280F"/>
    <w:multiLevelType w:val="hybridMultilevel"/>
    <w:tmpl w:val="DFDEE2D2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7"/>
    <w:rsid w:val="0004534F"/>
    <w:rsid w:val="000E3CE0"/>
    <w:rsid w:val="001217D9"/>
    <w:rsid w:val="001A5151"/>
    <w:rsid w:val="002046BC"/>
    <w:rsid w:val="00287543"/>
    <w:rsid w:val="00331F58"/>
    <w:rsid w:val="003846B8"/>
    <w:rsid w:val="003968E8"/>
    <w:rsid w:val="003D2D32"/>
    <w:rsid w:val="003D3B37"/>
    <w:rsid w:val="00424F46"/>
    <w:rsid w:val="004B2576"/>
    <w:rsid w:val="004B4C5A"/>
    <w:rsid w:val="004E0F5E"/>
    <w:rsid w:val="005300F5"/>
    <w:rsid w:val="0053154B"/>
    <w:rsid w:val="00537C12"/>
    <w:rsid w:val="00587F22"/>
    <w:rsid w:val="005B7906"/>
    <w:rsid w:val="005D3E8C"/>
    <w:rsid w:val="005F10C1"/>
    <w:rsid w:val="005F7A85"/>
    <w:rsid w:val="00616D83"/>
    <w:rsid w:val="006259EB"/>
    <w:rsid w:val="0063394F"/>
    <w:rsid w:val="0066435A"/>
    <w:rsid w:val="006A7D74"/>
    <w:rsid w:val="006B3DF0"/>
    <w:rsid w:val="006B72BD"/>
    <w:rsid w:val="006D31FA"/>
    <w:rsid w:val="00724011"/>
    <w:rsid w:val="007D44CD"/>
    <w:rsid w:val="00840AC4"/>
    <w:rsid w:val="00844A2C"/>
    <w:rsid w:val="008A4223"/>
    <w:rsid w:val="00925E81"/>
    <w:rsid w:val="00930897"/>
    <w:rsid w:val="00951D06"/>
    <w:rsid w:val="009916B6"/>
    <w:rsid w:val="009956C4"/>
    <w:rsid w:val="009A1CF3"/>
    <w:rsid w:val="009C28E6"/>
    <w:rsid w:val="009D09FB"/>
    <w:rsid w:val="00A62861"/>
    <w:rsid w:val="00B05288"/>
    <w:rsid w:val="00B8701E"/>
    <w:rsid w:val="00C25345"/>
    <w:rsid w:val="00D35457"/>
    <w:rsid w:val="00D40868"/>
    <w:rsid w:val="00D9448E"/>
    <w:rsid w:val="00DB7090"/>
    <w:rsid w:val="00DE07F4"/>
    <w:rsid w:val="00E4768F"/>
    <w:rsid w:val="00E74515"/>
    <w:rsid w:val="00EA03F7"/>
    <w:rsid w:val="00EC0AFD"/>
    <w:rsid w:val="00F057C9"/>
    <w:rsid w:val="00F11A19"/>
    <w:rsid w:val="00FA54BD"/>
    <w:rsid w:val="00FC7093"/>
    <w:rsid w:val="00FD2F54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4286F"/>
  <w15:chartTrackingRefBased/>
  <w15:docId w15:val="{C69D9897-0A5A-4D6B-B7AA-1297E403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6B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customStyle="1" w:styleId="textenormalbleum11">
    <w:name w:val="textenormalbleum11"/>
    <w:basedOn w:val="Policepardfaut"/>
  </w:style>
  <w:style w:type="character" w:customStyle="1" w:styleId="employeur">
    <w:name w:val="employeur"/>
    <w:basedOn w:val="Policepardfaut"/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18"/>
    </w:rPr>
  </w:style>
  <w:style w:type="character" w:styleId="lev">
    <w:name w:val="Strong"/>
    <w:basedOn w:val="Policepardfaut"/>
    <w:uiPriority w:val="22"/>
    <w:qFormat/>
    <w:rsid w:val="00A62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3651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2</cp:revision>
  <cp:lastPrinted>2017-11-23T10:56:00Z</cp:lastPrinted>
  <dcterms:created xsi:type="dcterms:W3CDTF">2026-03-03T15:31:00Z</dcterms:created>
  <dcterms:modified xsi:type="dcterms:W3CDTF">2026-03-03T15:31:00Z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000800c2000000000000010262610207f74006b004c800</vt:lpwstr>
  </property>
</Properties>
</file>