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73" w:rsidRDefault="00F209D1">
      <w:pPr>
        <w:pStyle w:val="Titre"/>
        <w:rPr>
          <w:rFonts w:ascii="Verdana" w:hAnsi="Verdana" w:cs="Calibri"/>
          <w:bCs w:val="0"/>
          <w:caps/>
          <w:sz w:val="20"/>
          <w:szCs w:val="20"/>
        </w:rPr>
      </w:pPr>
      <w:r w:rsidRPr="00F209D1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5B76BB" wp14:editId="20E6A499">
            <wp:simplePos x="0" y="0"/>
            <wp:positionH relativeFrom="margin">
              <wp:posOffset>-154940</wp:posOffset>
            </wp:positionH>
            <wp:positionV relativeFrom="margin">
              <wp:posOffset>195579</wp:posOffset>
            </wp:positionV>
            <wp:extent cx="660400" cy="662469"/>
            <wp:effectExtent l="0" t="0" r="6350" b="444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57" cy="664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73" w:rsidRPr="00F209D1" w:rsidRDefault="00E90E79">
      <w:pPr>
        <w:pStyle w:val="Titre"/>
        <w:rPr>
          <w:rFonts w:ascii="Verdana" w:hAnsi="Verdana" w:cs="Calibri"/>
          <w:bCs w:val="0"/>
          <w:caps/>
          <w:sz w:val="28"/>
          <w:szCs w:val="28"/>
        </w:rPr>
      </w:pPr>
      <w:r w:rsidRPr="00F209D1">
        <w:rPr>
          <w:rFonts w:ascii="Verdana" w:hAnsi="Verdana" w:cs="Calibri"/>
          <w:bCs w:val="0"/>
          <w:caps/>
          <w:sz w:val="28"/>
          <w:szCs w:val="28"/>
        </w:rPr>
        <w:t>OP</w:t>
      </w:r>
      <w:r w:rsidR="001B31E2" w:rsidRPr="00F209D1">
        <w:rPr>
          <w:rFonts w:ascii="Verdana" w:hAnsi="Verdana" w:cs="Calibri"/>
          <w:bCs w:val="0"/>
          <w:caps/>
          <w:sz w:val="28"/>
          <w:szCs w:val="28"/>
        </w:rPr>
        <w:t>É</w:t>
      </w:r>
      <w:r w:rsidRPr="00F209D1">
        <w:rPr>
          <w:rFonts w:ascii="Verdana" w:hAnsi="Verdana" w:cs="Calibri"/>
          <w:bCs w:val="0"/>
          <w:caps/>
          <w:sz w:val="28"/>
          <w:szCs w:val="28"/>
        </w:rPr>
        <w:t>RAT</w:t>
      </w:r>
      <w:r w:rsidR="001B31E2" w:rsidRPr="00F209D1">
        <w:rPr>
          <w:rFonts w:ascii="Verdana" w:hAnsi="Verdana" w:cs="Calibri"/>
          <w:bCs w:val="0"/>
          <w:caps/>
          <w:sz w:val="28"/>
          <w:szCs w:val="28"/>
        </w:rPr>
        <w:t>RICE/OPÉRATEUR</w:t>
      </w:r>
      <w:r w:rsidRPr="00F209D1">
        <w:rPr>
          <w:rFonts w:ascii="Verdana" w:hAnsi="Verdana" w:cs="Calibri"/>
          <w:bCs w:val="0"/>
          <w:caps/>
          <w:sz w:val="28"/>
          <w:szCs w:val="28"/>
        </w:rPr>
        <w:t xml:space="preserve"> DE VIDEOPROTECTION</w:t>
      </w:r>
      <w:r w:rsidR="00720E72" w:rsidRPr="00F209D1">
        <w:rPr>
          <w:rFonts w:ascii="Verdana" w:hAnsi="Verdana" w:cs="Calibri"/>
          <w:bCs w:val="0"/>
          <w:caps/>
          <w:sz w:val="28"/>
          <w:szCs w:val="28"/>
        </w:rPr>
        <w:t xml:space="preserve"> </w:t>
      </w:r>
      <w:r w:rsidR="00903F73" w:rsidRPr="00F209D1">
        <w:rPr>
          <w:rFonts w:ascii="Verdana" w:hAnsi="Verdana" w:cs="Calibri"/>
          <w:bCs w:val="0"/>
          <w:caps/>
          <w:sz w:val="28"/>
          <w:szCs w:val="28"/>
        </w:rPr>
        <w:t>–</w:t>
      </w:r>
    </w:p>
    <w:p w:rsidR="0065796C" w:rsidRPr="00F209D1" w:rsidRDefault="00720E72">
      <w:pPr>
        <w:pStyle w:val="Titre"/>
        <w:rPr>
          <w:rFonts w:ascii="Verdana" w:hAnsi="Verdana" w:cs="Calibri"/>
          <w:bCs w:val="0"/>
          <w:caps/>
          <w:sz w:val="28"/>
          <w:szCs w:val="28"/>
        </w:rPr>
      </w:pPr>
      <w:r w:rsidRPr="00F209D1">
        <w:rPr>
          <w:rFonts w:ascii="Verdana" w:hAnsi="Verdana" w:cs="Calibri"/>
          <w:bCs w:val="0"/>
          <w:caps/>
          <w:sz w:val="28"/>
          <w:szCs w:val="28"/>
        </w:rPr>
        <w:t xml:space="preserve"> A</w:t>
      </w:r>
      <w:r w:rsidR="00903F73" w:rsidRPr="00F209D1">
        <w:rPr>
          <w:rFonts w:ascii="Verdana" w:hAnsi="Verdana" w:cs="Calibri"/>
          <w:bCs w:val="0"/>
          <w:caps/>
          <w:sz w:val="28"/>
          <w:szCs w:val="28"/>
        </w:rPr>
        <w:t>GENTE/ AGENT de surveillance de la voie publique</w:t>
      </w:r>
      <w:r w:rsidR="00E90E79" w:rsidRPr="00F209D1">
        <w:rPr>
          <w:rFonts w:ascii="Verdana" w:hAnsi="Verdana" w:cs="Calibri"/>
          <w:bCs w:val="0"/>
          <w:caps/>
          <w:sz w:val="28"/>
          <w:szCs w:val="28"/>
        </w:rPr>
        <w:t xml:space="preserve"> </w:t>
      </w:r>
    </w:p>
    <w:p w:rsidR="0065796C" w:rsidRPr="00903F73" w:rsidRDefault="0065796C">
      <w:pPr>
        <w:jc w:val="center"/>
        <w:rPr>
          <w:rFonts w:ascii="Verdana" w:hAnsi="Verdana" w:cs="Calibri"/>
          <w:sz w:val="20"/>
          <w:szCs w:val="20"/>
        </w:rPr>
      </w:pPr>
    </w:p>
    <w:p w:rsidR="00903F73" w:rsidRPr="00F209D1" w:rsidRDefault="00E90E79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F209D1">
        <w:rPr>
          <w:rFonts w:ascii="Verdana" w:hAnsi="Verdana" w:cs="Calibri"/>
          <w:b/>
          <w:sz w:val="18"/>
          <w:szCs w:val="18"/>
        </w:rPr>
        <w:t>Pôle Proximité et Cohésion Sociale</w:t>
      </w:r>
      <w:r w:rsidR="00903F73" w:rsidRPr="00F209D1">
        <w:rPr>
          <w:rFonts w:ascii="Verdana" w:hAnsi="Verdana" w:cs="Calibri"/>
          <w:b/>
          <w:sz w:val="18"/>
          <w:szCs w:val="18"/>
        </w:rPr>
        <w:t xml:space="preserve"> - PPCS</w: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>/</w:t>
      </w:r>
    </w:p>
    <w:p w:rsidR="0065796C" w:rsidRPr="00F209D1" w:rsidRDefault="00F209D1">
      <w:pPr>
        <w:jc w:val="center"/>
        <w:rPr>
          <w:rFonts w:ascii="Verdana" w:hAnsi="Verdana" w:cs="Calibri"/>
          <w:sz w:val="18"/>
          <w:szCs w:val="18"/>
        </w:rPr>
      </w:pPr>
      <w:r w:rsidRPr="00903F73">
        <w:rPr>
          <w:rFonts w:ascii="Verdana" w:hAnsi="Verdana" w:cs="Calibri"/>
          <w:bCs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6477000</wp:posOffset>
                </wp:positionH>
                <wp:positionV relativeFrom="paragraph">
                  <wp:posOffset>36830</wp:posOffset>
                </wp:positionV>
                <wp:extent cx="933450" cy="2095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13" w:rsidRDefault="00246B13" w:rsidP="00246B1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F209D1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16/12/2024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0pt;margin-top:2.9pt;width:73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QbJwIAAE8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">
                <v:textbox>
                  <w:txbxContent>
                    <w:p w:rsidR="00246B13" w:rsidRDefault="00246B13" w:rsidP="00246B13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F209D1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16/12/2024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 xml:space="preserve">Direction </w:t>
      </w:r>
      <w:r w:rsidR="00E90E79" w:rsidRPr="00F209D1">
        <w:rPr>
          <w:rFonts w:ascii="Verdana" w:hAnsi="Verdana" w:cs="Calibri"/>
          <w:b/>
          <w:bCs/>
          <w:sz w:val="18"/>
          <w:szCs w:val="18"/>
        </w:rPr>
        <w:t>Sécurité et Tranquillité Publique</w:t>
      </w:r>
      <w:r w:rsidR="00903F73" w:rsidRPr="00F209D1">
        <w:rPr>
          <w:rFonts w:ascii="Verdana" w:hAnsi="Verdana" w:cs="Calibri"/>
          <w:b/>
          <w:bCs/>
          <w:sz w:val="18"/>
          <w:szCs w:val="18"/>
        </w:rPr>
        <w:t xml:space="preserve"> - DSTP</w:t>
      </w:r>
      <w:r w:rsidR="0065796C" w:rsidRPr="00F209D1">
        <w:rPr>
          <w:rFonts w:ascii="Verdana" w:hAnsi="Verdana" w:cs="Calibri"/>
          <w:b/>
          <w:bCs/>
          <w:sz w:val="18"/>
          <w:szCs w:val="18"/>
        </w:rPr>
        <w:t xml:space="preserve">/Service </w:t>
      </w:r>
      <w:r w:rsidR="00E90E79" w:rsidRPr="00F209D1">
        <w:rPr>
          <w:rFonts w:ascii="Verdana" w:hAnsi="Verdana" w:cs="Calibri"/>
          <w:b/>
          <w:bCs/>
          <w:sz w:val="18"/>
          <w:szCs w:val="18"/>
        </w:rPr>
        <w:t>Police Municipale</w:t>
      </w:r>
      <w:r w:rsidR="00606B8D" w:rsidRPr="00F209D1">
        <w:rPr>
          <w:rFonts w:ascii="Verdana" w:hAnsi="Verdana" w:cs="Calibri"/>
          <w:b/>
          <w:bCs/>
          <w:sz w:val="18"/>
          <w:szCs w:val="18"/>
        </w:rPr>
        <w:t xml:space="preserve"> - </w:t>
      </w:r>
      <w:r w:rsidR="00432934" w:rsidRPr="00F209D1">
        <w:rPr>
          <w:rFonts w:ascii="Verdana" w:hAnsi="Verdana" w:cs="Calibri"/>
          <w:b/>
          <w:bCs/>
          <w:sz w:val="18"/>
          <w:szCs w:val="18"/>
        </w:rPr>
        <w:t>CSU</w:t>
      </w:r>
    </w:p>
    <w:p w:rsidR="00903F73" w:rsidRPr="00F209D1" w:rsidRDefault="0065796C" w:rsidP="00C54937">
      <w:pPr>
        <w:jc w:val="center"/>
        <w:rPr>
          <w:rFonts w:ascii="Verdana" w:hAnsi="Verdana" w:cs="Calibri"/>
          <w:sz w:val="18"/>
          <w:szCs w:val="18"/>
        </w:rPr>
      </w:pPr>
      <w:r w:rsidRPr="00F209D1">
        <w:rPr>
          <w:rFonts w:ascii="Verdana" w:hAnsi="Verdana" w:cs="Calibri"/>
          <w:i/>
          <w:sz w:val="18"/>
          <w:szCs w:val="18"/>
          <w:u w:val="single"/>
        </w:rPr>
        <w:t xml:space="preserve">Lieu </w:t>
      </w:r>
      <w:r w:rsidR="00A42841" w:rsidRPr="00F209D1">
        <w:rPr>
          <w:rFonts w:ascii="Verdana" w:hAnsi="Verdana" w:cs="Calibri"/>
          <w:i/>
          <w:sz w:val="18"/>
          <w:szCs w:val="18"/>
          <w:u w:val="single"/>
        </w:rPr>
        <w:t>d’affectation</w:t>
      </w:r>
      <w:r w:rsidR="00E90E79" w:rsidRPr="00F209D1">
        <w:rPr>
          <w:rFonts w:ascii="Verdana" w:hAnsi="Verdana" w:cs="Calibri"/>
          <w:i/>
          <w:sz w:val="18"/>
          <w:szCs w:val="18"/>
        </w:rPr>
        <w:t xml:space="preserve"> : Police Municipale, 1 Bd </w:t>
      </w:r>
      <w:proofErr w:type="spellStart"/>
      <w:r w:rsidR="00E90E79" w:rsidRPr="00F209D1">
        <w:rPr>
          <w:rFonts w:ascii="Verdana" w:hAnsi="Verdana" w:cs="Calibri"/>
          <w:i/>
          <w:sz w:val="18"/>
          <w:szCs w:val="18"/>
        </w:rPr>
        <w:t>Cosmao</w:t>
      </w:r>
      <w:proofErr w:type="spellEnd"/>
      <w:r w:rsidR="00E90E79" w:rsidRPr="00F209D1">
        <w:rPr>
          <w:rFonts w:ascii="Verdana" w:hAnsi="Verdana" w:cs="Calibri"/>
          <w:i/>
          <w:sz w:val="18"/>
          <w:szCs w:val="18"/>
        </w:rPr>
        <w:t xml:space="preserve"> </w:t>
      </w:r>
      <w:proofErr w:type="spellStart"/>
      <w:r w:rsidR="00E90E79" w:rsidRPr="00F209D1">
        <w:rPr>
          <w:rFonts w:ascii="Verdana" w:hAnsi="Verdana" w:cs="Calibri"/>
          <w:i/>
          <w:sz w:val="18"/>
          <w:szCs w:val="18"/>
        </w:rPr>
        <w:t>Dumanoir</w:t>
      </w:r>
      <w:proofErr w:type="spellEnd"/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4541"/>
        <w:gridCol w:w="1328"/>
        <w:gridCol w:w="3203"/>
      </w:tblGrid>
      <w:tr w:rsidR="00A42841" w:rsidRPr="00F209D1" w:rsidTr="00F209D1">
        <w:trPr>
          <w:trHeight w:val="729"/>
          <w:jc w:val="center"/>
        </w:trPr>
        <w:tc>
          <w:tcPr>
            <w:tcW w:w="6946" w:type="dxa"/>
            <w:gridSpan w:val="2"/>
            <w:tcBorders>
              <w:right w:val="dashed" w:sz="8" w:space="0" w:color="auto"/>
            </w:tcBorders>
          </w:tcPr>
          <w:p w:rsidR="00A42841" w:rsidRPr="00F209D1" w:rsidRDefault="00A42841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A42841" w:rsidRPr="00F209D1" w:rsidRDefault="00A42841">
            <w:pPr>
              <w:numPr>
                <w:ilvl w:val="0"/>
                <w:numId w:val="4"/>
              </w:numPr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Catégorie :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</w:p>
          <w:p w:rsidR="00A42841" w:rsidRPr="00F209D1" w:rsidRDefault="00A42841" w:rsidP="00A4284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Filière :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Administrative / Technique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/ Animation</w:t>
            </w:r>
          </w:p>
          <w:p w:rsidR="00A42841" w:rsidRPr="00F209D1" w:rsidRDefault="00A42841" w:rsidP="00A42841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Cadre d’emplois :</w:t>
            </w:r>
            <w:r w:rsidR="00E63703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>Adjoints administratifs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>,</w:t>
            </w:r>
            <w:r w:rsidR="00E63703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techniques</w:t>
            </w:r>
            <w:r w:rsidR="0031476D" w:rsidRPr="00F209D1">
              <w:rPr>
                <w:rFonts w:ascii="Verdana" w:hAnsi="Verdana" w:cs="Calibri"/>
                <w:bCs/>
                <w:sz w:val="16"/>
                <w:szCs w:val="16"/>
              </w:rPr>
              <w:t xml:space="preserve"> ou d’animation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A42841" w:rsidRPr="00F209D1" w:rsidRDefault="00A42841" w:rsidP="00A4284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E90E79" w:rsidRPr="00F209D1" w:rsidRDefault="00E90E79" w:rsidP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:rsidR="00E90E79" w:rsidRPr="00F209D1" w:rsidRDefault="00E90E79" w:rsidP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</w:t>
            </w:r>
            <w:r w:rsidR="002255FC" w:rsidRPr="00F209D1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3203" w:type="dxa"/>
            <w:tcBorders>
              <w:left w:val="single" w:sz="4" w:space="0" w:color="auto"/>
            </w:tcBorders>
            <w:vAlign w:val="center"/>
          </w:tcPr>
          <w:p w:rsidR="00A42841" w:rsidRPr="00F209D1" w:rsidRDefault="00A4284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A42841" w:rsidRPr="00F209D1" w:rsidRDefault="00A4284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E90E79" w:rsidRPr="00F209D1" w:rsidRDefault="001B31E2" w:rsidP="005242C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Cycle de travail lié à l’activité</w:t>
            </w:r>
          </w:p>
          <w:p w:rsidR="00531347" w:rsidRPr="00F209D1" w:rsidRDefault="00531347" w:rsidP="005242C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Régime de 37h30</w:t>
            </w:r>
          </w:p>
        </w:tc>
      </w:tr>
      <w:tr w:rsidR="0065796C" w:rsidRPr="00F209D1" w:rsidTr="00F209D1">
        <w:trPr>
          <w:trHeight w:val="482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Réf</w:t>
            </w:r>
            <w:r w:rsidR="00232B36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hiérarchique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9072" w:type="dxa"/>
            <w:gridSpan w:val="3"/>
          </w:tcPr>
          <w:p w:rsidR="00F209D1" w:rsidRPr="00F209D1" w:rsidRDefault="00F209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E310E0" w:rsidRPr="00F209D1" w:rsidRDefault="00E310E0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Cheffe/Chef de salle CSU et responsable des ASVP </w:t>
            </w:r>
          </w:p>
          <w:p w:rsidR="00BC715C" w:rsidRPr="00F209D1" w:rsidRDefault="00E63703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Vous faite partie intégrante des effectifs de la police municipale</w:t>
            </w:r>
            <w:r w:rsidR="005242CC" w:rsidRPr="00F209D1">
              <w:rPr>
                <w:rFonts w:ascii="Verdana" w:hAnsi="Verdana" w:cs="Calibri"/>
                <w:sz w:val="16"/>
                <w:szCs w:val="16"/>
              </w:rPr>
              <w:t>, au sein d’une équipe dédiée spécialement au centre de su</w:t>
            </w:r>
            <w:r w:rsidR="00BC715C" w:rsidRPr="00F209D1">
              <w:rPr>
                <w:rFonts w:ascii="Verdana" w:hAnsi="Verdana" w:cs="Calibri"/>
                <w:sz w:val="16"/>
                <w:szCs w:val="16"/>
              </w:rPr>
              <w:t>p</w:t>
            </w:r>
            <w:r w:rsidR="005242CC" w:rsidRPr="00F209D1">
              <w:rPr>
                <w:rFonts w:ascii="Verdana" w:hAnsi="Verdana" w:cs="Calibri"/>
                <w:sz w:val="16"/>
                <w:szCs w:val="16"/>
              </w:rPr>
              <w:t>ervision urbain (CSU)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470CAB" w:rsidRPr="00F209D1">
              <w:rPr>
                <w:rFonts w:ascii="Verdana" w:hAnsi="Verdana" w:cs="Calibri"/>
                <w:sz w:val="16"/>
                <w:szCs w:val="16"/>
              </w:rPr>
              <w:t xml:space="preserve">et êtes amené 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 xml:space="preserve">également </w:t>
            </w:r>
            <w:r w:rsidR="00470CAB" w:rsidRPr="00F209D1">
              <w:rPr>
                <w:rFonts w:ascii="Verdana" w:hAnsi="Verdana" w:cs="Calibri"/>
                <w:sz w:val="16"/>
                <w:szCs w:val="16"/>
              </w:rPr>
              <w:t>à mener des missions sur la voie publique.</w:t>
            </w:r>
          </w:p>
        </w:tc>
      </w:tr>
      <w:tr w:rsidR="0065796C" w:rsidRPr="00F209D1" w:rsidTr="00F209D1">
        <w:trPr>
          <w:trHeight w:val="65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903F73" w:rsidRPr="00F209D1" w:rsidRDefault="00903F73" w:rsidP="00903F73">
            <w:pPr>
              <w:pStyle w:val="Paragraphedeliste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65796C" w:rsidRPr="00F209D1" w:rsidRDefault="0065796C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9072" w:type="dxa"/>
            <w:gridSpan w:val="3"/>
          </w:tcPr>
          <w:p w:rsidR="00F209D1" w:rsidRPr="00F209D1" w:rsidRDefault="00F209D1" w:rsidP="0051547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51547D" w:rsidRPr="00F209D1" w:rsidRDefault="00E63703" w:rsidP="0051547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Contacts directs et permanents avec l’équipe</w:t>
            </w:r>
            <w:r w:rsidR="0051547D" w:rsidRPr="00F209D1">
              <w:rPr>
                <w:rFonts w:ascii="Verdana" w:hAnsi="Verdana" w:cs="Calibri"/>
                <w:sz w:val="16"/>
                <w:szCs w:val="16"/>
              </w:rPr>
              <w:t xml:space="preserve"> - Relations permanentes avec les autres services de la collectivité susceptibles d'intervenir sur les sites : techniques, maintenance, service de médiation</w:t>
            </w:r>
          </w:p>
          <w:p w:rsidR="0051547D" w:rsidRPr="00F209D1" w:rsidRDefault="0051547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En fonction des procédures d'information et d'intervention, relations avec les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services de la sécurité publique, de la sécurité civile, les sociétés de gardiennage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et de surveillance, les entreprises et sous-traitants chargés de la maintenance</w:t>
            </w:r>
            <w:r w:rsidR="00EF5A2A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technique, les sapeurs-pompiers, etc. </w:t>
            </w:r>
          </w:p>
        </w:tc>
      </w:tr>
      <w:tr w:rsidR="0065796C" w:rsidRPr="00F209D1" w:rsidTr="00F209D1">
        <w:trPr>
          <w:trHeight w:val="36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9072" w:type="dxa"/>
            <w:gridSpan w:val="3"/>
          </w:tcPr>
          <w:p w:rsidR="00A0139D" w:rsidRPr="00F209D1" w:rsidRDefault="0051547D" w:rsidP="00E310E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Au sein de la police municipale, vous participez à la mise </w:t>
            </w:r>
            <w:r w:rsidR="00A0139D"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>œuvre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et à l'exploitation du centr</w:t>
            </w:r>
            <w:r w:rsidR="00A0139D"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>e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de supervision urbain (CSU), en vous appuyant sur la </w:t>
            </w:r>
            <w:r w:rsidR="00A0139D"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>soixantaine</w:t>
            </w:r>
            <w:r w:rsidRPr="00F209D1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de caméras déjà implantées en ville.</w:t>
            </w:r>
            <w:r w:rsidR="002966A8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  <w:p w:rsidR="00872B1E" w:rsidRPr="00F209D1" w:rsidRDefault="00872B1E" w:rsidP="00E310E0">
            <w:pPr>
              <w:jc w:val="both"/>
              <w:rPr>
                <w:rFonts w:ascii="Verdana" w:hAnsi="Verdana" w:cs="Calibri"/>
                <w:b/>
                <w:sz w:val="6"/>
                <w:szCs w:val="6"/>
              </w:rPr>
            </w:pPr>
          </w:p>
          <w:p w:rsidR="00A0139D" w:rsidRPr="00F209D1" w:rsidRDefault="0051547D" w:rsidP="00E310E0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Dans ce cadre, </w:t>
            </w:r>
            <w:r w:rsidR="002966A8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votre mission principale consiste à visualiser et à analyser les images de </w:t>
            </w:r>
            <w:r w:rsidR="00A0139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vidéoprotection</w:t>
            </w:r>
            <w:r w:rsidR="002966A8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 Ainsi, v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ous contribuez à la prévention et à la dissuasion de la délinquance générale de voie publique, à la sécurisation des espaces publics et des bâtiments communaux</w:t>
            </w:r>
            <w:r w:rsidR="00A0139D" w:rsidRPr="00F209D1">
              <w:rPr>
                <w:rFonts w:ascii="Verdana" w:hAnsi="Verdana" w:cs="Calibri"/>
                <w:b/>
                <w:sz w:val="16"/>
                <w:szCs w:val="16"/>
              </w:rPr>
              <w:t>.</w:t>
            </w:r>
            <w:r w:rsidR="00613BBB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Vous répondez aux appels téléphoniques dirigés vers la Police Municipale de Lorient.</w:t>
            </w:r>
            <w:r w:rsidR="00A0139D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Également,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="00613BBB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vous participez 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au renforcement de la présence humaine sur le territoire par envoi de moyens en cas de constat de troubles à la tranquillité publique en journée, en soirée et la nuit.</w:t>
            </w:r>
            <w:r w:rsidR="002255FC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</w:p>
          <w:p w:rsidR="00872B1E" w:rsidRPr="00F209D1" w:rsidRDefault="00872B1E" w:rsidP="00E310E0">
            <w:pPr>
              <w:jc w:val="both"/>
              <w:rPr>
                <w:rFonts w:ascii="Verdana" w:hAnsi="Verdana" w:cs="Calibri"/>
                <w:b/>
                <w:bCs/>
                <w:sz w:val="6"/>
                <w:szCs w:val="6"/>
              </w:rPr>
            </w:pPr>
          </w:p>
          <w:p w:rsidR="00E310E0" w:rsidRPr="00F209D1" w:rsidRDefault="00720E72" w:rsidP="00E310E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En polyvalence</w:t>
            </w:r>
            <w:r w:rsidR="00E1482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pour une meilleure connaissance du terrain et un équilibre des missions, 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vous assumez </w:t>
            </w:r>
            <w:r w:rsidR="00E310E0" w:rsidRPr="00F209D1">
              <w:rPr>
                <w:rFonts w:ascii="Verdana" w:hAnsi="Verdana" w:cs="Calibri"/>
                <w:b/>
                <w:sz w:val="16"/>
                <w:szCs w:val="16"/>
              </w:rPr>
              <w:t xml:space="preserve">également des missions de voie publique inhérentes aux </w:t>
            </w:r>
            <w:r w:rsidRPr="00F209D1">
              <w:rPr>
                <w:rFonts w:ascii="Verdana" w:hAnsi="Verdana" w:cs="Calibri"/>
                <w:b/>
                <w:sz w:val="16"/>
                <w:szCs w:val="16"/>
              </w:rPr>
              <w:t>fonctions d’agent de surveillance</w:t>
            </w: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de la voie publique (ASVP)</w:t>
            </w:r>
            <w:r w:rsidR="00E1482D"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</w:p>
        </w:tc>
      </w:tr>
      <w:tr w:rsidR="0065796C" w:rsidRPr="00F209D1" w:rsidTr="00F209D1">
        <w:trPr>
          <w:trHeight w:val="2336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9072" w:type="dxa"/>
            <w:gridSpan w:val="3"/>
          </w:tcPr>
          <w:p w:rsidR="002966A8" w:rsidRPr="00F209D1" w:rsidRDefault="002966A8" w:rsidP="002966A8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Surveillance générale passive e</w:t>
            </w:r>
            <w:r w:rsidRPr="00F209D1">
              <w:rPr>
                <w:rStyle w:val="lev"/>
                <w:rFonts w:ascii="Verdana" w:hAnsi="Verdana"/>
                <w:sz w:val="16"/>
                <w:szCs w:val="16"/>
              </w:rPr>
              <w:t xml:space="preserve">t </w:t>
            </w:r>
            <w:r w:rsidR="007E7BA4" w:rsidRPr="00F209D1">
              <w:rPr>
                <w:rStyle w:val="lev"/>
                <w:rFonts w:ascii="Verdana" w:hAnsi="Verdana" w:cs="Calibri"/>
                <w:sz w:val="16"/>
                <w:szCs w:val="16"/>
              </w:rPr>
              <w:t xml:space="preserve">active </w:t>
            </w: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 xml:space="preserve">– </w:t>
            </w:r>
            <w:r w:rsidR="007E7BA4" w:rsidRPr="00F209D1">
              <w:rPr>
                <w:rStyle w:val="lev"/>
                <w:rFonts w:ascii="Verdana" w:hAnsi="Verdana" w:cs="Calibri"/>
                <w:sz w:val="16"/>
                <w:szCs w:val="16"/>
              </w:rPr>
              <w:t>observation, analyse et exploitation des images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Surveiller la circulation des personnes et des véhicules dans les lieux publics, le transport de marchandises, mais aussi l’accès à certains bâtiments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Analyser les images sur les différents écrans et piloter les caméras à distance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 w:rsidR="000201AD" w:rsidRPr="00F209D1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Utiliser les différents moyens d’enregistrement mis à votre disposition : bandes vidéo, fichiers informatiques, pupitres de télécommande…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Informer les agents de la police municipale ou autre services appropriés chargés d’intervenir sur le terrain lorsque des éléments ou des comportements sont jugés suspects 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Veiller au respect des mesures de sécurité établies au sein de certains bâtiments publics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A0139D" w:rsidRPr="00F209D1" w:rsidRDefault="002966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Assurer des rondes de contrôle grâce aux caméras de vidéo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protection.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A0139D" w:rsidRPr="00F209D1" w:rsidRDefault="00C54937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Tenir une main courante informatisée en temps réel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 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2966A8" w:rsidRPr="00F209D1" w:rsidRDefault="000201AD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Respecter les procédures établies par sa hiérarchie</w:t>
            </w:r>
            <w:r w:rsidR="00A0139D" w:rsidRPr="00F209D1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613BBB" w:rsidRPr="00F209D1" w:rsidRDefault="00613BBB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613BBB" w:rsidRPr="00F209D1" w:rsidRDefault="00613BBB" w:rsidP="00613BBB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Recherche active et sécurisation des agents de police municipale</w:t>
            </w:r>
          </w:p>
          <w:p w:rsidR="008634B0" w:rsidRDefault="00613BBB" w:rsidP="00613BBB">
            <w:pPr>
              <w:jc w:val="both"/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Collaborer dans le cadre d’enquêtes - Localiser les suspects et les prendre en flagrant délit </w:t>
            </w:r>
          </w:p>
          <w:p w:rsidR="00613BBB" w:rsidRPr="008634B0" w:rsidRDefault="00613BBB" w:rsidP="00613BBB">
            <w:pPr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Suivre la progression des policiers grâce aux caméras et les alerter des dangers potentiels</w:t>
            </w:r>
            <w:r w:rsidR="00872B1E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- Être en communication radio avec les équipes de terrain</w:t>
            </w:r>
          </w:p>
          <w:p w:rsidR="00606B8D" w:rsidRPr="00F209D1" w:rsidRDefault="00606B8D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7E7BA4" w:rsidRPr="00F209D1" w:rsidRDefault="007E7BA4">
            <w:pPr>
              <w:jc w:val="both"/>
              <w:rPr>
                <w:rStyle w:val="lev"/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sz w:val="16"/>
                <w:szCs w:val="16"/>
              </w:rPr>
              <w:t>M</w:t>
            </w:r>
            <w:r w:rsidR="002966A8" w:rsidRPr="00F209D1">
              <w:rPr>
                <w:rStyle w:val="lev"/>
                <w:rFonts w:ascii="Verdana" w:hAnsi="Verdana" w:cs="Calibri"/>
                <w:sz w:val="16"/>
                <w:szCs w:val="16"/>
              </w:rPr>
              <w:t>aintenance technique des équipements de vidéosurveillance</w:t>
            </w:r>
          </w:p>
          <w:p w:rsidR="00C54937" w:rsidRPr="00F209D1" w:rsidRDefault="007E7BA4" w:rsidP="007E7BA4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E</w:t>
            </w:r>
            <w:r w:rsidR="002966A8" w:rsidRPr="00F209D1">
              <w:rPr>
                <w:rFonts w:ascii="Verdana" w:hAnsi="Verdana" w:cs="Calibri"/>
                <w:sz w:val="16"/>
                <w:szCs w:val="16"/>
              </w:rPr>
              <w:t xml:space="preserve">ntretenir et s’assurer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du bon état</w:t>
            </w:r>
            <w:r w:rsidR="002966A8" w:rsidRPr="00F209D1">
              <w:rPr>
                <w:rFonts w:ascii="Verdana" w:hAnsi="Verdana" w:cs="Calibri"/>
                <w:sz w:val="16"/>
                <w:szCs w:val="16"/>
              </w:rPr>
              <w:t xml:space="preserve"> du matériel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C54937" w:rsidRPr="00F209D1">
              <w:rPr>
                <w:rFonts w:ascii="Verdana" w:hAnsi="Verdana" w:cs="Calibri"/>
                <w:sz w:val="16"/>
                <w:szCs w:val="16"/>
              </w:rPr>
              <w:t>Initier l'alerte de la maintenance du système auprès du prestataire titulaire en cas de pannes et dysfonctionnement</w:t>
            </w: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Surveillance, relevé et verbalisation des infractions relatives à l’arrêt et au stationnement</w:t>
            </w:r>
          </w:p>
          <w:p w:rsidR="00613BBB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Contrôler l’application de la réglementation : respect de la zone réglementée, stationnement gênant, …</w:t>
            </w:r>
            <w:r w:rsidR="005E05A7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Relever une infraction et la qualifier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Etablir des procès-verbaux d’infraction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Saisir les données informatiques relatives aux amendes forfaitaires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F209D1">
              <w:rPr>
                <w:rFonts w:ascii="Verdana" w:hAnsi="Verdana" w:cs="Calibri"/>
                <w:sz w:val="16"/>
                <w:szCs w:val="16"/>
              </w:rPr>
              <w:t xml:space="preserve">Rédiger des 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Mains courantes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 et des rapports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Prévention et surveillance aux abords des équipements et lieux publics 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Assurer une surveillance des établissements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scolaires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Informer les administrés de la réglementation en vigueur sur les voies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publiques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Signaler un accident ou dysfonctionnement aux services </w:t>
            </w:r>
            <w:r w:rsidR="008634B0" w:rsidRPr="00F209D1">
              <w:rPr>
                <w:rFonts w:ascii="Verdana" w:hAnsi="Verdana" w:cs="Calibri"/>
                <w:sz w:val="16"/>
                <w:szCs w:val="16"/>
              </w:rPr>
              <w:t xml:space="preserve">compétents </w:t>
            </w:r>
            <w:r w:rsidR="008634B0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Secourir les individus en cas de besoin et assurer la protection des personnes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Surveillance du cadre et de la qualité de vie en ville</w:t>
            </w:r>
          </w:p>
          <w:p w:rsidR="001B31E2" w:rsidRPr="00F209D1" w:rsidRDefault="001B31E2" w:rsidP="00613BB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Relever les infractions aux arrêtés de police et appliquer les pouvoirs de police du Maire en matière sur la propreté, les espaces verts, les déjections canines, etc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…</w:t>
            </w:r>
          </w:p>
          <w:p w:rsidR="001B31E2" w:rsidRPr="00F209D1" w:rsidRDefault="001B31E2" w:rsidP="001B31E2">
            <w:pPr>
              <w:jc w:val="both"/>
              <w:rPr>
                <w:rFonts w:ascii="Verdana" w:hAnsi="Verdana" w:cs="Calibri"/>
                <w:b/>
                <w:bCs/>
                <w:sz w:val="6"/>
                <w:szCs w:val="6"/>
              </w:rPr>
            </w:pPr>
          </w:p>
          <w:p w:rsidR="001B31E2" w:rsidRPr="00F209D1" w:rsidRDefault="001B31E2" w:rsidP="001B31E2">
            <w:pPr>
              <w:pStyle w:val="Titre3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Participation au fonctionnement du poste de police</w:t>
            </w:r>
          </w:p>
          <w:p w:rsidR="001B31E2" w:rsidRPr="00F209D1" w:rsidRDefault="001B31E2" w:rsidP="00613B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Participer à certaines manifestations culturelles ou sportives</w:t>
            </w:r>
          </w:p>
        </w:tc>
      </w:tr>
      <w:tr w:rsidR="0065796C" w:rsidRPr="00F209D1" w:rsidTr="00F209D1">
        <w:trPr>
          <w:trHeight w:val="537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9072" w:type="dxa"/>
            <w:gridSpan w:val="3"/>
          </w:tcPr>
          <w:p w:rsidR="001B31E2" w:rsidRPr="00F209D1" w:rsidRDefault="00E1482D" w:rsidP="00606B8D">
            <w:pPr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F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ormation dans le domaine de la sécurité ou d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e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l’électronique 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appréciées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Intérêt pour la filière </w:t>
            </w:r>
            <w:r w:rsidR="00872B1E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P</w:t>
            </w:r>
            <w:r w:rsidR="001B0DA8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olice </w:t>
            </w:r>
            <w:r w:rsidR="00872B1E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M</w:t>
            </w:r>
            <w:r w:rsidR="001B0DA8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>unicipale</w:t>
            </w:r>
            <w:r w:rsidR="001B31E2" w:rsidRP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de la fonction publique territoriale</w:t>
            </w:r>
            <w:r w:rsidR="00F209D1">
              <w:rPr>
                <w:rStyle w:val="textenormalbleum11"/>
                <w:rFonts w:ascii="Verdana" w:hAnsi="Verdana" w:cs="Calibri"/>
                <w:sz w:val="16"/>
                <w:szCs w:val="16"/>
              </w:rPr>
              <w:t xml:space="preserve"> - </w:t>
            </w:r>
            <w:r w:rsidR="001B31E2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Connaissance des pouvoirs de police du </w:t>
            </w:r>
            <w:r w:rsidR="001B31E2" w:rsidRPr="00F209D1"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  <w:t>Maire</w:t>
            </w:r>
            <w:r w:rsidR="00F209D1"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- 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Aisance a</w:t>
            </w:r>
            <w:r w:rsidR="00EF5A2A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vec les outils informatiques et technologiques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- 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S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ens du détail</w:t>
            </w:r>
            <w:r w:rsidR="00720E7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, qualités d’attention et de concentration 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pour repérer et rechercher des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informations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- </w:t>
            </w:r>
            <w:r w:rsidR="00EF5A2A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Capacité à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 réagir rapidement et calmement pour être efficace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> </w:t>
            </w:r>
            <w:r w:rsidR="00606B8D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Sens de l’initiative et </w:t>
            </w:r>
            <w:r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capacité à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rendre compte par écrit et oralement</w:t>
            </w:r>
            <w:r w:rsid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 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Bonne condition physique, diplomatie, rigueur et impartialité</w:t>
            </w:r>
            <w:r w:rsid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 xml:space="preserve"> -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Capacité à la maitrise de soi et forte aptitude au dialogue et à l’écoute </w:t>
            </w:r>
            <w:r w:rsid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Style w:val="lev"/>
                <w:rFonts w:ascii="Verdana" w:hAnsi="Verdana" w:cstheme="minorHAnsi"/>
                <w:b w:val="0"/>
                <w:sz w:val="16"/>
                <w:szCs w:val="16"/>
              </w:rPr>
              <w:t xml:space="preserve">Sens de la médiation - 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Qualités relationnelles, d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iscrétion</w:t>
            </w:r>
            <w:r w:rsidR="00721F37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, s</w:t>
            </w:r>
            <w:r w:rsidR="007E7BA4" w:rsidRPr="00F209D1">
              <w:rPr>
                <w:rStyle w:val="lev"/>
                <w:rFonts w:ascii="Verdana" w:hAnsi="Verdana" w:cstheme="minorHAnsi"/>
                <w:b w:val="0"/>
                <w:bCs w:val="0"/>
                <w:sz w:val="16"/>
                <w:szCs w:val="16"/>
              </w:rPr>
              <w:t>ens du service public</w:t>
            </w:r>
          </w:p>
        </w:tc>
      </w:tr>
      <w:tr w:rsidR="0065796C" w:rsidRPr="00F209D1" w:rsidTr="00F209D1">
        <w:trPr>
          <w:trHeight w:val="232"/>
          <w:jc w:val="center"/>
        </w:trPr>
        <w:tc>
          <w:tcPr>
            <w:tcW w:w="2405" w:type="dxa"/>
          </w:tcPr>
          <w:p w:rsidR="0065796C" w:rsidRPr="00F209D1" w:rsidRDefault="0065796C" w:rsidP="007E7BA4">
            <w:pPr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9072" w:type="dxa"/>
            <w:gridSpan w:val="3"/>
          </w:tcPr>
          <w:p w:rsidR="001B0DA8" w:rsidRPr="00F209D1" w:rsidRDefault="001B0DA8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-</w:t>
            </w:r>
            <w:r w:rsidRPr="00F209D1">
              <w:rPr>
                <w:sz w:val="16"/>
                <w:szCs w:val="16"/>
              </w:rPr>
              <w:t xml:space="preserve"> </w:t>
            </w:r>
            <w:r w:rsidR="001B31E2" w:rsidRPr="00F209D1">
              <w:rPr>
                <w:rFonts w:ascii="Verdana" w:hAnsi="Verdana" w:cs="Calibri"/>
                <w:sz w:val="16"/>
                <w:szCs w:val="16"/>
              </w:rPr>
              <w:t>Permis B et port de l’uniforme obligatoire</w:t>
            </w:r>
            <w:r w:rsidR="00606B8D" w:rsidRPr="00F209D1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1B0DA8" w:rsidRPr="00F209D1" w:rsidRDefault="00606B8D" w:rsidP="001B0DA8">
            <w:pPr>
              <w:jc w:val="both"/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="007E7BA4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Lieu de travail dans un milieu fermé</w:t>
            </w:r>
            <w:r w:rsidR="00232B36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/ Risque de fatigue visuelle, physique ou psychologique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:rsidR="00613BBB" w:rsidRPr="00F209D1" w:rsidRDefault="00606B8D" w:rsidP="001B0DA8">
            <w:pPr>
              <w:jc w:val="both"/>
              <w:rPr>
                <w:rStyle w:val="lev"/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Poste soumis à l'agrément </w:t>
            </w:r>
            <w:r w:rsidR="00E310E0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du</w:t>
            </w:r>
            <w:r w:rsidR="000201AD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Procureur de la République, puis assermentation par le Tribunal </w:t>
            </w:r>
            <w:r w:rsidR="00613BBB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>Judiciaire</w:t>
            </w: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</w:p>
          <w:p w:rsidR="00613BBB" w:rsidRPr="00F209D1" w:rsidRDefault="001B0DA8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Fonts w:ascii="Verdana" w:hAnsi="Verdana" w:cs="Calibri"/>
                <w:sz w:val="16"/>
                <w:szCs w:val="16"/>
              </w:rPr>
              <w:t>-</w:t>
            </w:r>
            <w:r w:rsidRPr="00F209D1">
              <w:rPr>
                <w:sz w:val="16"/>
                <w:szCs w:val="16"/>
              </w:rPr>
              <w:t xml:space="preserve"> 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Bonne condition physique indispensable</w:t>
            </w:r>
            <w:r w:rsidRPr="00F209D1">
              <w:rPr>
                <w:rFonts w:ascii="Verdana" w:hAnsi="Verdana" w:cs="Calibri"/>
                <w:sz w:val="16"/>
                <w:szCs w:val="16"/>
              </w:rPr>
              <w:t>, t</w:t>
            </w:r>
            <w:r w:rsidR="00613BBB" w:rsidRPr="00F209D1">
              <w:rPr>
                <w:rFonts w:ascii="Verdana" w:hAnsi="Verdana" w:cs="Calibri"/>
                <w:sz w:val="16"/>
                <w:szCs w:val="16"/>
              </w:rPr>
              <w:t>ravail en extérieur par tous temps</w:t>
            </w:r>
            <w:r w:rsidRPr="00F209D1">
              <w:rPr>
                <w:rFonts w:ascii="Verdana" w:hAnsi="Verdana" w:cs="Calibri"/>
                <w:sz w:val="16"/>
                <w:szCs w:val="16"/>
              </w:rPr>
              <w:t xml:space="preserve"> lors des missions de voie publique</w:t>
            </w:r>
          </w:p>
          <w:p w:rsidR="001B0DA8" w:rsidRPr="00F209D1" w:rsidRDefault="00606B8D" w:rsidP="001B0DA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6D2751"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Selon le planning établi : </w:t>
            </w:r>
            <w:r w:rsidR="001B0DA8" w:rsidRPr="00F209D1">
              <w:rPr>
                <w:rFonts w:ascii="Verdana" w:hAnsi="Verdana" w:cs="Calibri"/>
                <w:sz w:val="16"/>
                <w:szCs w:val="16"/>
              </w:rPr>
              <w:t>Horaires de travail irréguliers avec amplitude variable (matin, après-midi, soirée, week-end, jours fériés, nuits)</w:t>
            </w:r>
          </w:p>
          <w:p w:rsidR="00E310E0" w:rsidRPr="00F209D1" w:rsidRDefault="00606B8D" w:rsidP="00E310E0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F209D1">
              <w:rPr>
                <w:rStyle w:val="lev"/>
                <w:rFonts w:ascii="Verdana" w:hAnsi="Verdana" w:cs="Calibri"/>
                <w:b w:val="0"/>
                <w:sz w:val="16"/>
                <w:szCs w:val="16"/>
              </w:rPr>
              <w:t xml:space="preserve">- </w:t>
            </w:r>
            <w:r w:rsidR="001B31E2" w:rsidRPr="00F209D1">
              <w:rPr>
                <w:rFonts w:ascii="Verdana" w:hAnsi="Verdana" w:cs="Calibri"/>
                <w:sz w:val="16"/>
                <w:szCs w:val="16"/>
              </w:rPr>
              <w:t>Les fiches de poste peuvent évoluer en fonction des nécessités de service et priorités institutionnelles</w:t>
            </w:r>
          </w:p>
        </w:tc>
      </w:tr>
    </w:tbl>
    <w:p w:rsidR="0065796C" w:rsidRPr="00903F73" w:rsidRDefault="0065796C">
      <w:pPr>
        <w:rPr>
          <w:rFonts w:ascii="Verdana" w:hAnsi="Verdana" w:cs="Calibri"/>
          <w:sz w:val="16"/>
          <w:szCs w:val="16"/>
        </w:rPr>
      </w:pPr>
    </w:p>
    <w:sectPr w:rsidR="0065796C" w:rsidRPr="00903F73" w:rsidSect="00903F73">
      <w:pgSz w:w="11906" w:h="16838"/>
      <w:pgMar w:top="142" w:right="454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725"/>
    <w:multiLevelType w:val="multilevel"/>
    <w:tmpl w:val="9D1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12B"/>
    <w:multiLevelType w:val="hybridMultilevel"/>
    <w:tmpl w:val="A90A80F6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C0CCA"/>
    <w:multiLevelType w:val="multilevel"/>
    <w:tmpl w:val="A0A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40D32"/>
    <w:multiLevelType w:val="multilevel"/>
    <w:tmpl w:val="AF8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0B30"/>
    <w:multiLevelType w:val="multilevel"/>
    <w:tmpl w:val="AFF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D"/>
    <w:rsid w:val="000201AD"/>
    <w:rsid w:val="000A7C28"/>
    <w:rsid w:val="00120EFA"/>
    <w:rsid w:val="00137795"/>
    <w:rsid w:val="001918A8"/>
    <w:rsid w:val="001B0DA8"/>
    <w:rsid w:val="001B31E2"/>
    <w:rsid w:val="001B704D"/>
    <w:rsid w:val="001F50C3"/>
    <w:rsid w:val="002255FC"/>
    <w:rsid w:val="00232B36"/>
    <w:rsid w:val="00234678"/>
    <w:rsid w:val="00246B13"/>
    <w:rsid w:val="00287D3C"/>
    <w:rsid w:val="002966A8"/>
    <w:rsid w:val="002B275E"/>
    <w:rsid w:val="0031476D"/>
    <w:rsid w:val="003C42FA"/>
    <w:rsid w:val="003D5CF3"/>
    <w:rsid w:val="00432934"/>
    <w:rsid w:val="00470CAB"/>
    <w:rsid w:val="004872D7"/>
    <w:rsid w:val="004E2A03"/>
    <w:rsid w:val="0051547D"/>
    <w:rsid w:val="005242CC"/>
    <w:rsid w:val="00531347"/>
    <w:rsid w:val="00537ABB"/>
    <w:rsid w:val="00564F1D"/>
    <w:rsid w:val="005E05A7"/>
    <w:rsid w:val="00606B8D"/>
    <w:rsid w:val="00613BBB"/>
    <w:rsid w:val="0065796C"/>
    <w:rsid w:val="00685B97"/>
    <w:rsid w:val="006D2751"/>
    <w:rsid w:val="00716FC5"/>
    <w:rsid w:val="00720E72"/>
    <w:rsid w:val="00721F37"/>
    <w:rsid w:val="007A7F93"/>
    <w:rsid w:val="007E7BA4"/>
    <w:rsid w:val="00804466"/>
    <w:rsid w:val="008634B0"/>
    <w:rsid w:val="00872B1E"/>
    <w:rsid w:val="008F5DCD"/>
    <w:rsid w:val="00903F73"/>
    <w:rsid w:val="00A00622"/>
    <w:rsid w:val="00A0139D"/>
    <w:rsid w:val="00A42841"/>
    <w:rsid w:val="00A72E4A"/>
    <w:rsid w:val="00AA49D4"/>
    <w:rsid w:val="00BC715C"/>
    <w:rsid w:val="00BD5069"/>
    <w:rsid w:val="00C12D3A"/>
    <w:rsid w:val="00C54937"/>
    <w:rsid w:val="00CE1F16"/>
    <w:rsid w:val="00CF3C9F"/>
    <w:rsid w:val="00D379B1"/>
    <w:rsid w:val="00D5554B"/>
    <w:rsid w:val="00D95858"/>
    <w:rsid w:val="00E1482D"/>
    <w:rsid w:val="00E25A74"/>
    <w:rsid w:val="00E310E0"/>
    <w:rsid w:val="00E63703"/>
    <w:rsid w:val="00E90E79"/>
    <w:rsid w:val="00EF5A2A"/>
    <w:rsid w:val="00F209D1"/>
    <w:rsid w:val="00F56EF1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C7813"/>
  <w15:chartTrackingRefBased/>
  <w15:docId w15:val="{17AE8415-C110-4ABB-BABA-A781B04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uiPriority w:val="22"/>
    <w:qFormat/>
    <w:rsid w:val="002966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BA4"/>
    <w:pPr>
      <w:spacing w:before="100" w:beforeAutospacing="1" w:after="100" w:afterAutospacing="1"/>
    </w:pPr>
  </w:style>
  <w:style w:type="character" w:customStyle="1" w:styleId="textenormalbleum11">
    <w:name w:val="textenormalbleum11"/>
    <w:rsid w:val="001B31E2"/>
  </w:style>
  <w:style w:type="paragraph" w:styleId="Paragraphedeliste">
    <w:name w:val="List Paragraph"/>
    <w:basedOn w:val="Normal"/>
    <w:uiPriority w:val="34"/>
    <w:qFormat/>
    <w:rsid w:val="00606B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310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F220-E3A3-480C-A2E5-4BBD84BE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934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dc:description/>
  <cp:lastModifiedBy>MEILLERAY Steven</cp:lastModifiedBy>
  <cp:revision>3</cp:revision>
  <cp:lastPrinted>2023-02-13T09:38:00Z</cp:lastPrinted>
  <dcterms:created xsi:type="dcterms:W3CDTF">2024-12-16T10:16:00Z</dcterms:created>
  <dcterms:modified xsi:type="dcterms:W3CDTF">2024-12-16T15:56:00Z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0008008e000000000000010262610207f74006b004c800</vt:lpwstr>
  </property>
</Properties>
</file>