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ECB9" w14:textId="25E8216B" w:rsidR="00310F8E" w:rsidRDefault="00A32378" w:rsidP="00257856">
      <w:pPr>
        <w:pStyle w:val="Titre"/>
        <w:tabs>
          <w:tab w:val="left" w:pos="1260"/>
          <w:tab w:val="center" w:pos="5102"/>
        </w:tabs>
        <w:rPr>
          <w:rFonts w:ascii="Verdana" w:hAnsi="Verdana" w:cs="Arial"/>
          <w:bCs w:val="0"/>
          <w:caps/>
        </w:rPr>
      </w:pPr>
      <w:r w:rsidRPr="00A32378"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A9B0D9C" wp14:editId="1E895E58">
            <wp:simplePos x="0" y="0"/>
            <wp:positionH relativeFrom="page">
              <wp:posOffset>222659</wp:posOffset>
            </wp:positionH>
            <wp:positionV relativeFrom="page">
              <wp:posOffset>451337</wp:posOffset>
            </wp:positionV>
            <wp:extent cx="532600" cy="533791"/>
            <wp:effectExtent l="0" t="0" r="127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00" cy="5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F8E" w:rsidRPr="00310F8E">
        <w:rPr>
          <w:rFonts w:ascii="Verdana" w:hAnsi="Verdana" w:cs="Arial"/>
          <w:bCs w:val="0"/>
          <w:caps/>
          <w:u w:val="single"/>
        </w:rPr>
        <w:t>fiche mission</w:t>
      </w:r>
      <w:r w:rsidR="00310F8E" w:rsidRPr="00310F8E">
        <w:rPr>
          <w:rFonts w:ascii="Verdana" w:hAnsi="Verdana" w:cs="Arial"/>
          <w:bCs w:val="0"/>
          <w:caps/>
        </w:rPr>
        <w:t xml:space="preserve"> : </w:t>
      </w:r>
    </w:p>
    <w:p w14:paraId="0079C704" w14:textId="37EC9989" w:rsidR="00AD66AD" w:rsidRPr="00310F8E" w:rsidRDefault="00310F8E" w:rsidP="00257856">
      <w:pPr>
        <w:pStyle w:val="Titre"/>
        <w:tabs>
          <w:tab w:val="left" w:pos="1260"/>
          <w:tab w:val="center" w:pos="5102"/>
        </w:tabs>
        <w:rPr>
          <w:rFonts w:ascii="Verdana" w:hAnsi="Verdana" w:cs="Arial"/>
          <w:bCs w:val="0"/>
          <w:caps/>
          <w:sz w:val="16"/>
          <w:szCs w:val="16"/>
        </w:rPr>
      </w:pPr>
      <w:r w:rsidRPr="00310F8E">
        <w:rPr>
          <w:rFonts w:ascii="Verdana" w:hAnsi="Verdana" w:cs="Arial"/>
          <w:bCs w:val="0"/>
          <w:caps/>
        </w:rPr>
        <w:t>gestionnaire</w:t>
      </w:r>
      <w:r w:rsidRPr="00310F8E">
        <w:rPr>
          <w:rFonts w:ascii="Verdana" w:hAnsi="Verdana" w:cs="Arial"/>
          <w:bCs w:val="0"/>
          <w:caps/>
        </w:rPr>
        <w:t xml:space="preserve"> </w:t>
      </w:r>
      <w:r w:rsidR="00C51008" w:rsidRPr="00310F8E">
        <w:rPr>
          <w:rFonts w:ascii="Verdana" w:hAnsi="Verdana" w:cs="Arial"/>
          <w:bCs w:val="0"/>
          <w:caps/>
        </w:rPr>
        <w:t>administrati</w:t>
      </w:r>
      <w:r w:rsidRPr="00310F8E">
        <w:rPr>
          <w:rFonts w:ascii="Verdana" w:hAnsi="Verdana" w:cs="Arial"/>
          <w:bCs w:val="0"/>
          <w:caps/>
        </w:rPr>
        <w:t>F</w:t>
      </w:r>
      <w:r w:rsidR="00C51008" w:rsidRPr="00310F8E">
        <w:rPr>
          <w:rFonts w:ascii="Verdana" w:hAnsi="Verdana" w:cs="Arial"/>
          <w:bCs w:val="0"/>
          <w:caps/>
        </w:rPr>
        <w:t xml:space="preserve"> et</w:t>
      </w:r>
      <w:r w:rsidR="00AD66AD" w:rsidRPr="00310F8E">
        <w:rPr>
          <w:rFonts w:ascii="Verdana" w:hAnsi="Verdana" w:cs="Arial"/>
          <w:bCs w:val="0"/>
          <w:caps/>
        </w:rPr>
        <w:t xml:space="preserve"> comptable</w:t>
      </w:r>
      <w:r w:rsidR="00A32378" w:rsidRPr="00A32378">
        <w:rPr>
          <w:rFonts w:ascii="Verdana" w:hAnsi="Verdana" w:cs="Arial"/>
          <w:bCs w:val="0"/>
          <w:caps/>
          <w:sz w:val="20"/>
          <w:szCs w:val="20"/>
        </w:rPr>
        <w:t xml:space="preserve"> </w:t>
      </w:r>
      <w:r w:rsidR="00A32378" w:rsidRPr="00310F8E">
        <w:rPr>
          <w:rFonts w:ascii="Verdana" w:hAnsi="Verdana" w:cs="Arial"/>
          <w:bCs w:val="0"/>
          <w:caps/>
          <w:sz w:val="16"/>
          <w:szCs w:val="16"/>
        </w:rPr>
        <w:t>(H/F)</w:t>
      </w:r>
    </w:p>
    <w:p w14:paraId="7451F1E0" w14:textId="33D5BA80" w:rsidR="00A32378" w:rsidRDefault="00A32378">
      <w:pPr>
        <w:jc w:val="center"/>
        <w:rPr>
          <w:rFonts w:ascii="Verdana" w:hAnsi="Verdana" w:cs="Arial"/>
          <w:sz w:val="20"/>
          <w:szCs w:val="20"/>
        </w:rPr>
      </w:pPr>
    </w:p>
    <w:p w14:paraId="29609D0A" w14:textId="5556BFCA" w:rsidR="00310F8E" w:rsidRDefault="00310F8E">
      <w:pPr>
        <w:jc w:val="center"/>
        <w:rPr>
          <w:rFonts w:ascii="Verdana" w:hAnsi="Verdana" w:cs="Arial"/>
          <w:sz w:val="20"/>
          <w:szCs w:val="20"/>
        </w:rPr>
      </w:pPr>
    </w:p>
    <w:p w14:paraId="7C0891E1" w14:textId="77777777" w:rsidR="00310F8E" w:rsidRDefault="00310F8E">
      <w:pPr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7DCF6818" w14:textId="6305ECCB" w:rsidR="006C4874" w:rsidRPr="00310F8E" w:rsidRDefault="00257856" w:rsidP="006C4874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310F8E">
        <w:rPr>
          <w:rFonts w:ascii="Verdana" w:hAnsi="Verdana" w:cs="Arial"/>
          <w:b/>
          <w:sz w:val="18"/>
          <w:szCs w:val="18"/>
        </w:rPr>
        <w:t>Pôle transition écologique et cadre de vie</w:t>
      </w:r>
      <w:r w:rsidR="00A32378" w:rsidRPr="00310F8E">
        <w:rPr>
          <w:rFonts w:ascii="Verdana" w:hAnsi="Verdana" w:cs="Arial"/>
          <w:b/>
          <w:sz w:val="18"/>
          <w:szCs w:val="18"/>
        </w:rPr>
        <w:t xml:space="preserve"> - PTE/</w:t>
      </w:r>
      <w:r w:rsidRPr="00310F8E">
        <w:rPr>
          <w:rFonts w:ascii="Verdana" w:hAnsi="Verdana" w:cs="Arial"/>
          <w:b/>
          <w:bCs/>
          <w:sz w:val="18"/>
          <w:szCs w:val="18"/>
        </w:rPr>
        <w:t xml:space="preserve">Direction </w:t>
      </w:r>
      <w:r w:rsidRPr="00310F8E">
        <w:rPr>
          <w:rFonts w:ascii="Verdana" w:hAnsi="Verdana" w:cs="Arial"/>
          <w:b/>
          <w:sz w:val="18"/>
          <w:szCs w:val="18"/>
        </w:rPr>
        <w:t>des Bâtiments et du Patrimoine immobilier</w:t>
      </w:r>
      <w:r w:rsidR="00A32378" w:rsidRPr="00310F8E">
        <w:rPr>
          <w:rFonts w:ascii="Verdana" w:hAnsi="Verdana" w:cs="Arial"/>
          <w:b/>
          <w:sz w:val="18"/>
          <w:szCs w:val="18"/>
        </w:rPr>
        <w:t xml:space="preserve"> </w:t>
      </w:r>
      <w:r w:rsidR="006C4874" w:rsidRPr="00310F8E">
        <w:rPr>
          <w:rFonts w:ascii="Verdana" w:hAnsi="Verdana" w:cs="Arial"/>
          <w:b/>
          <w:sz w:val="18"/>
          <w:szCs w:val="18"/>
        </w:rPr>
        <w:t>–</w:t>
      </w:r>
      <w:r w:rsidR="00A32378" w:rsidRPr="00310F8E">
        <w:rPr>
          <w:rFonts w:ascii="Verdana" w:hAnsi="Verdana" w:cs="Arial"/>
          <w:b/>
          <w:sz w:val="18"/>
          <w:szCs w:val="18"/>
        </w:rPr>
        <w:t xml:space="preserve"> DB</w:t>
      </w:r>
    </w:p>
    <w:p w14:paraId="7C50DE68" w14:textId="1A5499A6" w:rsidR="00257856" w:rsidRPr="00310F8E" w:rsidRDefault="00257856" w:rsidP="006C4874">
      <w:pPr>
        <w:jc w:val="center"/>
        <w:rPr>
          <w:rFonts w:ascii="Verdana" w:hAnsi="Verdana" w:cs="Arial"/>
          <w:b/>
          <w:sz w:val="18"/>
          <w:szCs w:val="18"/>
        </w:rPr>
      </w:pPr>
      <w:r w:rsidRPr="00310F8E">
        <w:rPr>
          <w:rFonts w:ascii="Verdana" w:hAnsi="Verdana" w:cs="Arial"/>
          <w:b/>
          <w:bCs/>
          <w:sz w:val="18"/>
          <w:szCs w:val="18"/>
        </w:rPr>
        <w:t>Service gestion et maintenance du patrimoine</w:t>
      </w:r>
      <w:r w:rsidR="00A32378" w:rsidRPr="00310F8E">
        <w:rPr>
          <w:rFonts w:ascii="Verdana" w:hAnsi="Verdana" w:cs="Arial"/>
          <w:b/>
          <w:bCs/>
          <w:sz w:val="18"/>
          <w:szCs w:val="18"/>
        </w:rPr>
        <w:t>- GMP</w:t>
      </w:r>
    </w:p>
    <w:p w14:paraId="45714221" w14:textId="77777777" w:rsidR="00AD66AD" w:rsidRPr="00310F8E" w:rsidRDefault="00C53925">
      <w:pPr>
        <w:pStyle w:val="Titre6"/>
        <w:rPr>
          <w:rFonts w:ascii="Verdana" w:hAnsi="Verdana"/>
          <w:sz w:val="18"/>
          <w:szCs w:val="18"/>
        </w:rPr>
      </w:pPr>
      <w:r w:rsidRPr="00310F8E">
        <w:rPr>
          <w:rFonts w:ascii="Verdana" w:hAnsi="Verdana"/>
          <w:sz w:val="18"/>
          <w:szCs w:val="18"/>
          <w:u w:val="single"/>
        </w:rPr>
        <w:t>Lieu de travail</w:t>
      </w:r>
      <w:r w:rsidRPr="00310F8E">
        <w:rPr>
          <w:rFonts w:ascii="Verdana" w:hAnsi="Verdana"/>
          <w:sz w:val="18"/>
          <w:szCs w:val="18"/>
        </w:rPr>
        <w:t xml:space="preserve"> : </w:t>
      </w:r>
      <w:r w:rsidR="00AD66AD" w:rsidRPr="00310F8E">
        <w:rPr>
          <w:rFonts w:ascii="Verdana" w:hAnsi="Verdana"/>
          <w:sz w:val="18"/>
          <w:szCs w:val="18"/>
        </w:rPr>
        <w:t>Centre technique municipal, rue Henri Dunant</w:t>
      </w:r>
    </w:p>
    <w:p w14:paraId="2502B9B1" w14:textId="77777777" w:rsidR="00AD66AD" w:rsidRPr="00A32378" w:rsidRDefault="00AD66AD">
      <w:pPr>
        <w:rPr>
          <w:rFonts w:ascii="Verdana" w:hAnsi="Verdana" w:cs="Arial"/>
          <w:sz w:val="16"/>
          <w:szCs w:val="16"/>
        </w:rPr>
      </w:pPr>
    </w:p>
    <w:tbl>
      <w:tblPr>
        <w:tblW w:w="11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2792"/>
        <w:gridCol w:w="2700"/>
        <w:gridCol w:w="3074"/>
      </w:tblGrid>
      <w:tr w:rsidR="00D41162" w:rsidRPr="00A32378" w14:paraId="3970FB48" w14:textId="77777777" w:rsidTr="00C53925">
        <w:trPr>
          <w:trHeight w:val="643"/>
          <w:jc w:val="center"/>
        </w:trPr>
        <w:tc>
          <w:tcPr>
            <w:tcW w:w="5691" w:type="dxa"/>
            <w:gridSpan w:val="2"/>
            <w:tcBorders>
              <w:right w:val="dashed" w:sz="8" w:space="0" w:color="auto"/>
            </w:tcBorders>
          </w:tcPr>
          <w:p w14:paraId="749A7CA3" w14:textId="4C7B5E19" w:rsidR="00D41162" w:rsidRPr="00A32378" w:rsidRDefault="00310F8E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Niveau d’emploi</w:t>
            </w:r>
          </w:p>
          <w:p w14:paraId="65AC620A" w14:textId="77777777" w:rsidR="00D41162" w:rsidRPr="00A32378" w:rsidRDefault="00D41162" w:rsidP="00D41162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Catégorie :</w:t>
            </w:r>
            <w:r w:rsidRPr="00A32378">
              <w:rPr>
                <w:rFonts w:ascii="Verdana" w:hAnsi="Verdana" w:cs="Arial"/>
                <w:sz w:val="16"/>
                <w:szCs w:val="16"/>
              </w:rPr>
              <w:t xml:space="preserve"> C</w:t>
            </w:r>
          </w:p>
          <w:p w14:paraId="2139F7F8" w14:textId="77777777" w:rsidR="00D41162" w:rsidRPr="00A32378" w:rsidRDefault="00D41162" w:rsidP="00D41162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Filière :</w:t>
            </w:r>
            <w:r w:rsidRPr="00A32378">
              <w:rPr>
                <w:rFonts w:ascii="Verdana" w:hAnsi="Verdana" w:cs="Arial"/>
                <w:sz w:val="16"/>
                <w:szCs w:val="16"/>
              </w:rPr>
              <w:t xml:space="preserve"> Administrative</w:t>
            </w:r>
          </w:p>
          <w:p w14:paraId="47EAB2DF" w14:textId="77777777" w:rsidR="00D41162" w:rsidRPr="00A32378" w:rsidRDefault="00D41162" w:rsidP="00D41162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Cadre d’emplois :</w:t>
            </w:r>
            <w:r w:rsidRPr="00A32378">
              <w:rPr>
                <w:rFonts w:ascii="Verdana" w:hAnsi="Verdana" w:cs="Arial"/>
                <w:sz w:val="16"/>
                <w:szCs w:val="16"/>
              </w:rPr>
              <w:t xml:space="preserve"> Adjoints administratifs territoriaux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1DCDD52" w14:textId="77777777" w:rsidR="00D41162" w:rsidRPr="00A32378" w:rsidRDefault="00D41162" w:rsidP="00D41162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A32378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14:paraId="61235121" w14:textId="77777777" w:rsidR="00D41162" w:rsidRPr="00A32378" w:rsidRDefault="00D41162" w:rsidP="00D41162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</w:p>
          <w:p w14:paraId="22EC3DA0" w14:textId="77777777" w:rsidR="00D41162" w:rsidRPr="00A32378" w:rsidRDefault="00D41162" w:rsidP="00787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Calibri"/>
                <w:bCs/>
                <w:sz w:val="16"/>
                <w:szCs w:val="16"/>
              </w:rPr>
              <w:t>C</w:t>
            </w:r>
            <w:r w:rsidR="007879D2" w:rsidRPr="00A32378">
              <w:rPr>
                <w:rFonts w:ascii="Verdana" w:hAnsi="Verdana" w:cs="Calibri"/>
                <w:bCs/>
                <w:sz w:val="16"/>
                <w:szCs w:val="16"/>
              </w:rPr>
              <w:t>2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14:paraId="5C04E669" w14:textId="77777777" w:rsidR="00D41162" w:rsidRPr="00A32378" w:rsidRDefault="00D41162" w:rsidP="00D4116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Temps de travail</w:t>
            </w:r>
          </w:p>
          <w:p w14:paraId="43082854" w14:textId="77777777" w:rsidR="00D41162" w:rsidRPr="00A32378" w:rsidRDefault="00D41162" w:rsidP="00D4116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</w:p>
          <w:p w14:paraId="2B0004B8" w14:textId="77777777" w:rsidR="00D41162" w:rsidRPr="00A32378" w:rsidRDefault="006E0B5A" w:rsidP="002040A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Temps complet</w:t>
            </w:r>
          </w:p>
          <w:p w14:paraId="3AC1D764" w14:textId="77777777" w:rsidR="00C53925" w:rsidRPr="00A32378" w:rsidRDefault="00C53925" w:rsidP="002040A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Régime de 39H</w:t>
            </w:r>
          </w:p>
        </w:tc>
      </w:tr>
      <w:tr w:rsidR="00AD66AD" w:rsidRPr="00A32378" w14:paraId="78646B8D" w14:textId="77777777" w:rsidTr="00C53925">
        <w:trPr>
          <w:trHeight w:val="701"/>
          <w:jc w:val="center"/>
        </w:trPr>
        <w:tc>
          <w:tcPr>
            <w:tcW w:w="2899" w:type="dxa"/>
          </w:tcPr>
          <w:p w14:paraId="3E64DED6" w14:textId="77777777" w:rsidR="00AD66AD" w:rsidRPr="00A32378" w:rsidRDefault="00AD66AD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A32378">
              <w:rPr>
                <w:rFonts w:ascii="Verdana" w:hAnsi="Verdana"/>
                <w:sz w:val="16"/>
                <w:szCs w:val="16"/>
              </w:rPr>
              <w:t>Situation fonctionnelle</w:t>
            </w:r>
          </w:p>
          <w:p w14:paraId="3EC57DE0" w14:textId="77777777" w:rsidR="00AD66AD" w:rsidRPr="00A32378" w:rsidRDefault="00AD66AD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Référent hiérarchique</w:t>
            </w:r>
          </w:p>
          <w:p w14:paraId="397AD4D0" w14:textId="77777777" w:rsidR="00AD66AD" w:rsidRPr="00A32378" w:rsidRDefault="00AD66AD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566" w:type="dxa"/>
            <w:gridSpan w:val="3"/>
          </w:tcPr>
          <w:p w14:paraId="3843129E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02E1630" w14:textId="78443F21" w:rsidR="00AD66AD" w:rsidRPr="00A32378" w:rsidRDefault="004F687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Responsable du service GMP</w:t>
            </w:r>
          </w:p>
          <w:p w14:paraId="0315DA4D" w14:textId="2994EAE2" w:rsidR="00AD66AD" w:rsidRPr="00A32378" w:rsidRDefault="00AD66AD" w:rsidP="008B1E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 xml:space="preserve">Au sein d’un service regroupant </w:t>
            </w:r>
            <w:r w:rsidR="00A55D15">
              <w:rPr>
                <w:rFonts w:ascii="Verdana" w:hAnsi="Verdana" w:cs="Arial"/>
                <w:sz w:val="16"/>
                <w:szCs w:val="16"/>
              </w:rPr>
              <w:t>environ 80</w:t>
            </w:r>
            <w:r w:rsidRPr="00A32378">
              <w:rPr>
                <w:rFonts w:ascii="Verdana" w:hAnsi="Verdana" w:cs="Arial"/>
                <w:sz w:val="16"/>
                <w:szCs w:val="16"/>
              </w:rPr>
              <w:t xml:space="preserve"> agents permanents, vous travaillez</w:t>
            </w:r>
            <w:r w:rsidR="00004D4B" w:rsidRPr="00A32378">
              <w:rPr>
                <w:rFonts w:ascii="Verdana" w:hAnsi="Verdana" w:cs="Arial"/>
                <w:sz w:val="16"/>
                <w:szCs w:val="16"/>
              </w:rPr>
              <w:t xml:space="preserve"> en particulier avec l</w:t>
            </w:r>
            <w:r w:rsidR="006C4874">
              <w:rPr>
                <w:rFonts w:ascii="Verdana" w:hAnsi="Verdana" w:cs="Arial"/>
                <w:sz w:val="16"/>
                <w:szCs w:val="16"/>
              </w:rPr>
              <w:t>e secteur de la stratégie et des interventions patrimoniales,</w:t>
            </w:r>
            <w:r w:rsidR="00004D4B" w:rsidRPr="00A32378">
              <w:rPr>
                <w:rFonts w:ascii="Verdana" w:hAnsi="Verdana" w:cs="Arial"/>
                <w:sz w:val="16"/>
                <w:szCs w:val="16"/>
              </w:rPr>
              <w:t xml:space="preserve"> et </w:t>
            </w:r>
            <w:r w:rsidRPr="00A32378">
              <w:rPr>
                <w:rFonts w:ascii="Verdana" w:hAnsi="Verdana" w:cs="Arial"/>
                <w:sz w:val="16"/>
                <w:szCs w:val="16"/>
              </w:rPr>
              <w:t xml:space="preserve">en relation étroite avec deux autres secrétaires </w:t>
            </w:r>
            <w:r w:rsidR="006C4874">
              <w:rPr>
                <w:rFonts w:ascii="Verdana" w:hAnsi="Verdana" w:cs="Arial"/>
                <w:sz w:val="16"/>
                <w:szCs w:val="16"/>
              </w:rPr>
              <w:t xml:space="preserve">administratives et </w:t>
            </w:r>
            <w:r w:rsidRPr="00A32378">
              <w:rPr>
                <w:rFonts w:ascii="Verdana" w:hAnsi="Verdana" w:cs="Arial"/>
                <w:sz w:val="16"/>
                <w:szCs w:val="16"/>
              </w:rPr>
              <w:t>comptables.</w:t>
            </w:r>
          </w:p>
        </w:tc>
      </w:tr>
      <w:tr w:rsidR="00AD66AD" w:rsidRPr="00A32378" w14:paraId="61C47A8F" w14:textId="77777777" w:rsidTr="00C53925">
        <w:trPr>
          <w:trHeight w:val="840"/>
          <w:jc w:val="center"/>
        </w:trPr>
        <w:tc>
          <w:tcPr>
            <w:tcW w:w="2899" w:type="dxa"/>
          </w:tcPr>
          <w:p w14:paraId="3F7EF58D" w14:textId="77777777" w:rsidR="00AD66AD" w:rsidRPr="00A32378" w:rsidRDefault="00AD66AD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A32378">
              <w:rPr>
                <w:rFonts w:ascii="Verdana" w:hAnsi="Verdana"/>
                <w:sz w:val="16"/>
                <w:szCs w:val="16"/>
              </w:rPr>
              <w:t>Relations fonctionnelles</w:t>
            </w:r>
          </w:p>
          <w:p w14:paraId="049EE716" w14:textId="77777777" w:rsidR="00AD66AD" w:rsidRPr="00A32378" w:rsidRDefault="00AD66AD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Internes</w:t>
            </w:r>
          </w:p>
          <w:p w14:paraId="5F13E7B2" w14:textId="77777777" w:rsidR="00AD66AD" w:rsidRPr="00A32378" w:rsidRDefault="00AD66A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9AC740E" w14:textId="77777777" w:rsidR="00AD66AD" w:rsidRPr="00A32378" w:rsidRDefault="00AD66AD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566" w:type="dxa"/>
            <w:gridSpan w:val="3"/>
          </w:tcPr>
          <w:p w14:paraId="07ECEF24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79EF871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 xml:space="preserve">Relations directes et permanentes avec les agents </w:t>
            </w:r>
            <w:r w:rsidR="00C53925" w:rsidRPr="00A32378">
              <w:rPr>
                <w:rFonts w:ascii="Verdana" w:hAnsi="Verdana" w:cs="Arial"/>
                <w:sz w:val="16"/>
                <w:szCs w:val="16"/>
              </w:rPr>
              <w:t xml:space="preserve">- </w:t>
            </w:r>
            <w:r w:rsidRPr="00A32378">
              <w:rPr>
                <w:rFonts w:ascii="Verdana" w:hAnsi="Verdana" w:cs="Arial"/>
                <w:sz w:val="16"/>
                <w:szCs w:val="16"/>
              </w:rPr>
              <w:t xml:space="preserve">Echanges réguliers avec les différents services et notamment les finances </w:t>
            </w:r>
          </w:p>
          <w:p w14:paraId="18ADE204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Relations avec les fournisseurs</w:t>
            </w:r>
            <w:r w:rsidR="00C53925" w:rsidRPr="00A32378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Pr="00A32378">
              <w:rPr>
                <w:rFonts w:ascii="Verdana" w:hAnsi="Verdana" w:cs="Arial"/>
                <w:sz w:val="16"/>
                <w:szCs w:val="16"/>
              </w:rPr>
              <w:t>Collaboration avec la Trésorerie</w:t>
            </w:r>
            <w:r w:rsidR="00C53925" w:rsidRPr="00A32378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Pr="00A32378">
              <w:rPr>
                <w:rFonts w:ascii="Verdana" w:hAnsi="Verdana" w:cs="Arial"/>
                <w:sz w:val="16"/>
                <w:szCs w:val="16"/>
              </w:rPr>
              <w:t>Contacts avec les différents partenaires du service</w:t>
            </w:r>
          </w:p>
        </w:tc>
      </w:tr>
      <w:tr w:rsidR="00AD66AD" w:rsidRPr="00A32378" w14:paraId="0DB14360" w14:textId="77777777" w:rsidTr="00C53925">
        <w:trPr>
          <w:trHeight w:val="411"/>
          <w:jc w:val="center"/>
        </w:trPr>
        <w:tc>
          <w:tcPr>
            <w:tcW w:w="2899" w:type="dxa"/>
          </w:tcPr>
          <w:p w14:paraId="499EA840" w14:textId="77777777" w:rsidR="00AD66AD" w:rsidRPr="00A32378" w:rsidRDefault="00AD66AD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A32378">
              <w:rPr>
                <w:rFonts w:ascii="Verdana" w:hAnsi="Verdana"/>
                <w:sz w:val="16"/>
                <w:szCs w:val="16"/>
              </w:rPr>
              <w:t>Mission principale</w:t>
            </w:r>
          </w:p>
        </w:tc>
        <w:tc>
          <w:tcPr>
            <w:tcW w:w="8566" w:type="dxa"/>
            <w:gridSpan w:val="3"/>
          </w:tcPr>
          <w:p w14:paraId="3865578A" w14:textId="0BE99B2B" w:rsidR="002115EE" w:rsidRPr="00A32378" w:rsidRDefault="002115EE" w:rsidP="002040A4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Le service gestion et maintenance du patrimoine assure la maintenance des bâtiments municipaux, par les agents municipaux </w:t>
            </w:r>
            <w:r w:rsidR="005F2774">
              <w:rPr>
                <w:rFonts w:ascii="Verdana" w:hAnsi="Verdana" w:cs="Arial"/>
                <w:b/>
                <w:bCs/>
                <w:sz w:val="16"/>
                <w:szCs w:val="16"/>
              </w:rPr>
              <w:t>(</w:t>
            </w: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la régie</w:t>
            </w:r>
            <w:r w:rsidR="005F2774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  <w:r w:rsidR="006C487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d’une part, par des entreprises missionnées par le service d’autre part. </w:t>
            </w:r>
          </w:p>
          <w:p w14:paraId="66A97318" w14:textId="68569A07" w:rsidR="00AD66AD" w:rsidRPr="00A32378" w:rsidRDefault="00F13291" w:rsidP="002040A4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Au sein d’un pool administratif composée de 3 personnes, v</w:t>
            </w:r>
            <w:r w:rsidR="00AD66AD"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ous assurez</w:t>
            </w:r>
            <w:r w:rsidRPr="00A32378">
              <w:rPr>
                <w:rFonts w:ascii="Verdana" w:hAnsi="Verdana" w:cs="Arial"/>
                <w:b/>
                <w:bCs/>
                <w:sz w:val="16"/>
                <w:szCs w:val="16"/>
              </w:rPr>
              <w:t>, en particulier</w:t>
            </w:r>
            <w:r w:rsidR="00AD66AD" w:rsidRPr="00A32378">
              <w:rPr>
                <w:rFonts w:ascii="Verdana" w:hAnsi="Verdana"/>
                <w:b/>
                <w:bCs/>
                <w:sz w:val="16"/>
                <w:szCs w:val="16"/>
              </w:rPr>
              <w:t xml:space="preserve"> la gestion du budget d’investissement </w:t>
            </w:r>
            <w:r w:rsidR="00C80952" w:rsidRPr="00A32378">
              <w:rPr>
                <w:rFonts w:ascii="Verdana" w:hAnsi="Verdana"/>
                <w:b/>
                <w:bCs/>
                <w:sz w:val="16"/>
                <w:szCs w:val="16"/>
              </w:rPr>
              <w:t>et le suivi financier et administratif des opérations de travaux</w:t>
            </w:r>
            <w:r w:rsidRPr="00A3237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="00AD66AD" w:rsidRPr="00A32378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A32378">
              <w:rPr>
                <w:rFonts w:ascii="Verdana" w:hAnsi="Verdana"/>
                <w:b/>
                <w:bCs/>
                <w:sz w:val="16"/>
                <w:szCs w:val="16"/>
              </w:rPr>
              <w:t xml:space="preserve">pilotées par le secteur </w:t>
            </w:r>
            <w:r w:rsidR="006C4874">
              <w:rPr>
                <w:rFonts w:ascii="Verdana" w:hAnsi="Verdana"/>
                <w:b/>
                <w:bCs/>
                <w:sz w:val="16"/>
                <w:szCs w:val="16"/>
              </w:rPr>
              <w:t>stratégie et interventions patrimoniales</w:t>
            </w:r>
            <w:r w:rsidRPr="00A32378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AD66AD" w:rsidRPr="00A32378">
              <w:rPr>
                <w:rFonts w:ascii="Verdana" w:hAnsi="Verdana"/>
                <w:b/>
                <w:bCs/>
                <w:sz w:val="16"/>
                <w:szCs w:val="16"/>
              </w:rPr>
              <w:t>pour le service gestion et maintenance du patrimoine.</w:t>
            </w:r>
          </w:p>
        </w:tc>
      </w:tr>
      <w:tr w:rsidR="00AD66AD" w:rsidRPr="00A32378" w14:paraId="31A88834" w14:textId="77777777" w:rsidTr="00C53925">
        <w:trPr>
          <w:trHeight w:val="2069"/>
          <w:jc w:val="center"/>
        </w:trPr>
        <w:tc>
          <w:tcPr>
            <w:tcW w:w="2899" w:type="dxa"/>
          </w:tcPr>
          <w:p w14:paraId="647283AD" w14:textId="77777777" w:rsidR="00AD66AD" w:rsidRPr="00A32378" w:rsidRDefault="00AD66AD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A32378">
              <w:rPr>
                <w:rFonts w:ascii="Verdana" w:hAnsi="Verdana"/>
                <w:sz w:val="16"/>
                <w:szCs w:val="16"/>
              </w:rPr>
              <w:t>Activités du poste</w:t>
            </w:r>
          </w:p>
        </w:tc>
        <w:tc>
          <w:tcPr>
            <w:tcW w:w="8566" w:type="dxa"/>
            <w:gridSpan w:val="3"/>
          </w:tcPr>
          <w:p w14:paraId="183280D5" w14:textId="4B8EFB5D" w:rsidR="00AD66AD" w:rsidRPr="00A32378" w:rsidRDefault="00745709">
            <w:pPr>
              <w:pStyle w:val="Titre1"/>
              <w:jc w:val="both"/>
              <w:rPr>
                <w:rFonts w:ascii="Verdana" w:hAnsi="Verdana"/>
                <w:sz w:val="16"/>
                <w:szCs w:val="16"/>
              </w:rPr>
            </w:pPr>
            <w:r w:rsidRPr="00A32378">
              <w:rPr>
                <w:rFonts w:ascii="Verdana" w:hAnsi="Verdana"/>
                <w:sz w:val="16"/>
                <w:szCs w:val="16"/>
              </w:rPr>
              <w:t xml:space="preserve">Gestion et suivi </w:t>
            </w:r>
            <w:r w:rsidR="00C80952" w:rsidRPr="00A32378">
              <w:rPr>
                <w:rFonts w:ascii="Verdana" w:hAnsi="Verdana"/>
                <w:sz w:val="16"/>
                <w:szCs w:val="16"/>
              </w:rPr>
              <w:t>financier des opérations de travaux</w:t>
            </w:r>
            <w:r w:rsidR="00B62C43" w:rsidRPr="00A3237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4851DF4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Effectuer l’engagement des dépenses</w:t>
            </w:r>
          </w:p>
          <w:p w14:paraId="61DB0AC8" w14:textId="77777777" w:rsidR="003952B9" w:rsidRPr="00A32378" w:rsidRDefault="003952B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Assurer les reports et rattachement de crédits d’un exercice à l’autre</w:t>
            </w:r>
          </w:p>
          <w:p w14:paraId="2B397F23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 xml:space="preserve">Liquider les factures </w:t>
            </w:r>
            <w:r w:rsidR="00C80952" w:rsidRPr="00A32378">
              <w:rPr>
                <w:rFonts w:ascii="Verdana" w:hAnsi="Verdana" w:cs="Arial"/>
                <w:sz w:val="16"/>
                <w:szCs w:val="16"/>
              </w:rPr>
              <w:t xml:space="preserve">et situations de travaux </w:t>
            </w:r>
            <w:r w:rsidR="002040A4" w:rsidRPr="00A32378">
              <w:rPr>
                <w:rFonts w:ascii="Verdana" w:hAnsi="Verdana" w:cs="Arial"/>
                <w:sz w:val="16"/>
                <w:szCs w:val="16"/>
              </w:rPr>
              <w:t>validées par le</w:t>
            </w:r>
            <w:r w:rsidR="00827622" w:rsidRPr="00A32378">
              <w:rPr>
                <w:rFonts w:ascii="Verdana" w:hAnsi="Verdana" w:cs="Arial"/>
                <w:sz w:val="16"/>
                <w:szCs w:val="16"/>
              </w:rPr>
              <w:t xml:space="preserve"> technicien</w:t>
            </w:r>
          </w:p>
          <w:p w14:paraId="57CF2B71" w14:textId="77777777" w:rsidR="00004D4B" w:rsidRPr="00A32378" w:rsidRDefault="00004D4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Etablir les certificats de paiement et les certificats de sous-traitance</w:t>
            </w:r>
          </w:p>
          <w:p w14:paraId="41C28410" w14:textId="77777777" w:rsidR="00C80952" w:rsidRPr="00A32378" w:rsidRDefault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Etablir les décomptes globaux et définitifs des opérations</w:t>
            </w:r>
          </w:p>
          <w:p w14:paraId="5E5136DF" w14:textId="77777777" w:rsidR="00C80952" w:rsidRPr="00A32378" w:rsidRDefault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 xml:space="preserve">Libérer les retenues de garanties </w:t>
            </w:r>
          </w:p>
          <w:p w14:paraId="6CB2F9C7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Suivre les virements de crédits et décisions modificatives</w:t>
            </w:r>
          </w:p>
          <w:p w14:paraId="29252F4C" w14:textId="77777777" w:rsidR="00AD66AD" w:rsidRPr="00A32378" w:rsidRDefault="0074570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 xml:space="preserve">Participer à l’élaboration des </w:t>
            </w:r>
            <w:r w:rsidR="00AD66AD" w:rsidRPr="00A32378">
              <w:rPr>
                <w:rFonts w:ascii="Verdana" w:hAnsi="Verdana" w:cs="Arial"/>
                <w:sz w:val="16"/>
                <w:szCs w:val="16"/>
              </w:rPr>
              <w:t xml:space="preserve">budgets </w:t>
            </w:r>
            <w:r w:rsidRPr="00A32378">
              <w:rPr>
                <w:rFonts w:ascii="Verdana" w:hAnsi="Verdana" w:cs="Arial"/>
                <w:sz w:val="16"/>
                <w:szCs w:val="16"/>
              </w:rPr>
              <w:t xml:space="preserve">de </w:t>
            </w:r>
            <w:r w:rsidR="00AD66AD" w:rsidRPr="00A32378">
              <w:rPr>
                <w:rFonts w:ascii="Verdana" w:hAnsi="Verdana" w:cs="Arial"/>
                <w:sz w:val="16"/>
                <w:szCs w:val="16"/>
              </w:rPr>
              <w:t>prestations de service</w:t>
            </w:r>
          </w:p>
          <w:p w14:paraId="12942E95" w14:textId="77777777" w:rsidR="00F13291" w:rsidRPr="00A32378" w:rsidRDefault="00F1329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Gérer les actualisations et révisions des prix liées aux caractéristiques des différents marchés</w:t>
            </w:r>
          </w:p>
          <w:p w14:paraId="59CBD7E7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Elaborer et actualiser des tableaux de bord trimestriels</w:t>
            </w:r>
          </w:p>
          <w:p w14:paraId="7C26A795" w14:textId="77777777" w:rsidR="00C80952" w:rsidRPr="00A32378" w:rsidRDefault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1F80A31" w14:textId="15BADEA0" w:rsidR="00C80952" w:rsidRPr="00A32378" w:rsidRDefault="00C8095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sz w:val="16"/>
                <w:szCs w:val="16"/>
              </w:rPr>
              <w:t>Gestion et suivi administratif des opérations de travaux</w:t>
            </w:r>
            <w:r w:rsidR="00B62C43" w:rsidRPr="00A3237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14:paraId="53ABFECC" w14:textId="77777777" w:rsidR="00C80952" w:rsidRPr="00A32378" w:rsidRDefault="00C80952" w:rsidP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Assurer la mise en forme de courriers, CCTP, compte-rendu, PV de réception et ordres de service des techniciens</w:t>
            </w:r>
          </w:p>
          <w:p w14:paraId="085AC1D6" w14:textId="77777777" w:rsidR="00C80952" w:rsidRPr="00A32378" w:rsidRDefault="00C80952" w:rsidP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Préparer les actes d’engagements des marchés subséquents</w:t>
            </w:r>
          </w:p>
          <w:p w14:paraId="1CCAED89" w14:textId="77777777" w:rsidR="008966B7" w:rsidRPr="00A32378" w:rsidRDefault="00B62C43" w:rsidP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Suivre les déclarations de sous-traitance et les modalités de paiement associées</w:t>
            </w:r>
          </w:p>
          <w:p w14:paraId="30075C7D" w14:textId="77777777" w:rsidR="00C80952" w:rsidRPr="00A32378" w:rsidRDefault="00C80952" w:rsidP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 xml:space="preserve">Assurer les circuits de signature des documents </w:t>
            </w:r>
          </w:p>
          <w:p w14:paraId="2573F856" w14:textId="77777777" w:rsidR="00C80952" w:rsidRPr="00A32378" w:rsidRDefault="00C80952" w:rsidP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Elaborer et actualiser des tableaux de bord et bilans</w:t>
            </w:r>
          </w:p>
          <w:p w14:paraId="6D0AB54F" w14:textId="77777777" w:rsidR="00C80952" w:rsidRPr="00A32378" w:rsidRDefault="00C80952" w:rsidP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Assurer l’archivage des dossiers</w:t>
            </w:r>
          </w:p>
          <w:p w14:paraId="4EDA8F22" w14:textId="77777777" w:rsidR="00B62C43" w:rsidRPr="00A32378" w:rsidRDefault="00B62C43" w:rsidP="00C8095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Rédiger, mettre en forme et actualiser les</w:t>
            </w:r>
            <w:r w:rsidR="00E45D84" w:rsidRPr="00A3237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32378">
              <w:rPr>
                <w:rFonts w:ascii="Verdana" w:hAnsi="Verdana" w:cs="Arial"/>
                <w:sz w:val="16"/>
                <w:szCs w:val="16"/>
              </w:rPr>
              <w:t xml:space="preserve">procédures </w:t>
            </w:r>
          </w:p>
          <w:p w14:paraId="31B1F9DF" w14:textId="77777777" w:rsidR="00AD66AD" w:rsidRPr="00A32378" w:rsidRDefault="00AD66AD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3CBB6C8" w14:textId="0FDB1564" w:rsidR="00AD66AD" w:rsidRPr="00A32378" w:rsidRDefault="00827622">
            <w:pPr>
              <w:pStyle w:val="Titre1"/>
              <w:jc w:val="both"/>
              <w:rPr>
                <w:rFonts w:ascii="Verdana" w:hAnsi="Verdana"/>
                <w:sz w:val="16"/>
                <w:szCs w:val="16"/>
              </w:rPr>
            </w:pPr>
            <w:r w:rsidRPr="00A32378">
              <w:rPr>
                <w:rFonts w:ascii="Verdana" w:hAnsi="Verdana"/>
                <w:sz w:val="16"/>
                <w:szCs w:val="16"/>
              </w:rPr>
              <w:t xml:space="preserve">Secrétariat du service </w:t>
            </w:r>
          </w:p>
          <w:p w14:paraId="092FD72C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Accueillir et renseigner les interlocuteurs du service</w:t>
            </w:r>
          </w:p>
          <w:p w14:paraId="0B5E7586" w14:textId="77777777" w:rsidR="00E4400B" w:rsidRPr="00A32378" w:rsidRDefault="00E4400B" w:rsidP="00E4400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Réceptionner les appels téléphoniques et renseigner l’appelant</w:t>
            </w:r>
          </w:p>
          <w:p w14:paraId="41CF548B" w14:textId="77777777" w:rsidR="00E4400B" w:rsidRPr="00A32378" w:rsidRDefault="00E4400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Assurer la prise des messages et transmettre les informations</w:t>
            </w:r>
          </w:p>
          <w:p w14:paraId="49EB418C" w14:textId="77777777" w:rsidR="00E4400B" w:rsidRPr="00A32378" w:rsidRDefault="00E4400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13E64A9" w14:textId="77777777" w:rsidR="00AD66AD" w:rsidRPr="00A32378" w:rsidRDefault="00AD66AD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32378">
              <w:rPr>
                <w:rFonts w:ascii="Verdana" w:hAnsi="Verdana" w:cs="Arial"/>
                <w:b/>
                <w:i/>
                <w:iCs/>
                <w:sz w:val="16"/>
                <w:szCs w:val="16"/>
              </w:rPr>
              <w:t xml:space="preserve">Assurer la continuité du service en effectuant le remplacement des agents </w:t>
            </w:r>
            <w:r w:rsidR="00E4400B" w:rsidRPr="00A32378">
              <w:rPr>
                <w:rFonts w:ascii="Verdana" w:hAnsi="Verdana" w:cs="Arial"/>
                <w:b/>
                <w:i/>
                <w:iCs/>
                <w:sz w:val="16"/>
                <w:szCs w:val="16"/>
              </w:rPr>
              <w:t xml:space="preserve">du pool administratif </w:t>
            </w:r>
            <w:r w:rsidRPr="00A32378">
              <w:rPr>
                <w:rFonts w:ascii="Verdana" w:hAnsi="Verdana" w:cs="Arial"/>
                <w:b/>
                <w:i/>
                <w:iCs/>
                <w:sz w:val="16"/>
                <w:szCs w:val="16"/>
              </w:rPr>
              <w:t>pendant leurs absences</w:t>
            </w:r>
          </w:p>
        </w:tc>
      </w:tr>
      <w:tr w:rsidR="00AD66AD" w:rsidRPr="00A32378" w14:paraId="41DAF053" w14:textId="77777777" w:rsidTr="00C53925">
        <w:trPr>
          <w:trHeight w:val="1136"/>
          <w:jc w:val="center"/>
        </w:trPr>
        <w:tc>
          <w:tcPr>
            <w:tcW w:w="2899" w:type="dxa"/>
          </w:tcPr>
          <w:p w14:paraId="297E0071" w14:textId="77777777" w:rsidR="00AD66AD" w:rsidRPr="00A32378" w:rsidRDefault="00AD66AD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A32378">
              <w:rPr>
                <w:rFonts w:ascii="Verdana" w:hAnsi="Verdana"/>
                <w:sz w:val="16"/>
                <w:szCs w:val="16"/>
              </w:rPr>
              <w:t>Compétences et qualités professionnelles requises</w:t>
            </w:r>
          </w:p>
        </w:tc>
        <w:tc>
          <w:tcPr>
            <w:tcW w:w="8566" w:type="dxa"/>
            <w:gridSpan w:val="3"/>
          </w:tcPr>
          <w:p w14:paraId="61E3C8D0" w14:textId="77777777" w:rsidR="00E45D84" w:rsidRPr="00A32378" w:rsidRDefault="00E45D84" w:rsidP="0082762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Connaissance des marchés publics (travaux et prestations intellectuelles)</w:t>
            </w:r>
          </w:p>
          <w:p w14:paraId="7A9BC4A0" w14:textId="77777777" w:rsidR="00827622" w:rsidRPr="00A32378" w:rsidRDefault="00AD66AD" w:rsidP="00827622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Connaissance en comptabilité publique</w:t>
            </w:r>
            <w:r w:rsidR="00827622" w:rsidRPr="00A32378">
              <w:rPr>
                <w:rFonts w:ascii="Verdana" w:hAnsi="Verdana" w:cs="Arial"/>
                <w:bCs/>
                <w:sz w:val="16"/>
                <w:szCs w:val="16"/>
              </w:rPr>
              <w:t xml:space="preserve"> et des logiciels métier </w:t>
            </w:r>
            <w:r w:rsidR="001E6A15" w:rsidRPr="00A32378">
              <w:rPr>
                <w:rFonts w:ascii="Verdana" w:hAnsi="Verdana" w:cs="Arial"/>
                <w:bCs/>
                <w:sz w:val="16"/>
                <w:szCs w:val="16"/>
              </w:rPr>
              <w:t>(</w:t>
            </w:r>
            <w:r w:rsidR="001D27EE" w:rsidRPr="00A32378">
              <w:rPr>
                <w:rFonts w:ascii="Verdana" w:hAnsi="Verdana" w:cs="Arial"/>
                <w:bCs/>
                <w:sz w:val="16"/>
                <w:szCs w:val="16"/>
              </w:rPr>
              <w:t>SEDIT – ATAL)</w:t>
            </w:r>
            <w:r w:rsidR="00827622" w:rsidRPr="00A3237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  <w:p w14:paraId="44D33200" w14:textId="77777777" w:rsidR="00AD66AD" w:rsidRPr="00A32378" w:rsidRDefault="00AD66AD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A32378">
              <w:rPr>
                <w:rFonts w:ascii="Verdana" w:hAnsi="Verdana" w:cs="Arial"/>
                <w:bCs/>
                <w:sz w:val="16"/>
                <w:szCs w:val="16"/>
              </w:rPr>
              <w:t>Très bonne connaissance des outils bureautiques (</w:t>
            </w:r>
            <w:r w:rsidRPr="00A32378">
              <w:rPr>
                <w:rFonts w:ascii="Verdana" w:hAnsi="Verdana" w:cs="Arial"/>
                <w:sz w:val="16"/>
                <w:szCs w:val="16"/>
              </w:rPr>
              <w:t>Word, Excel)</w:t>
            </w:r>
            <w:r w:rsidRPr="00A3237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  <w:p w14:paraId="7531F7D9" w14:textId="77777777" w:rsidR="00827622" w:rsidRPr="00A32378" w:rsidRDefault="00827622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8FE3579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Capacité à respecter des délais</w:t>
            </w:r>
          </w:p>
          <w:p w14:paraId="6B561D53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Capacité à assurer une bonne transmission de l'information</w:t>
            </w:r>
          </w:p>
          <w:p w14:paraId="61AFE619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Savoir s'adapter à la diversité des tâches et des interlocuteurs</w:t>
            </w:r>
          </w:p>
          <w:p w14:paraId="341B2B1E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Maîtrise des techniques de classement et d’archivage</w:t>
            </w:r>
          </w:p>
          <w:p w14:paraId="1151F62B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05D820D" w14:textId="77777777" w:rsidR="00AD66AD" w:rsidRPr="00A32378" w:rsidRDefault="00AD66A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Sens des relations humaines et sens de l'accueil</w:t>
            </w:r>
          </w:p>
          <w:p w14:paraId="6E52E990" w14:textId="77777777" w:rsidR="00AD66AD" w:rsidRPr="00A32378" w:rsidRDefault="00AD6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Rigueur et sens de l’organisation</w:t>
            </w:r>
          </w:p>
          <w:p w14:paraId="7DD72608" w14:textId="77777777" w:rsidR="00AD66AD" w:rsidRPr="00A32378" w:rsidRDefault="00AD66A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32378">
              <w:rPr>
                <w:rFonts w:ascii="Verdana" w:hAnsi="Verdana" w:cs="Arial"/>
                <w:sz w:val="16"/>
                <w:szCs w:val="16"/>
              </w:rPr>
              <w:t>Sens du service public</w:t>
            </w:r>
          </w:p>
        </w:tc>
      </w:tr>
    </w:tbl>
    <w:p w14:paraId="09A2581C" w14:textId="77777777" w:rsidR="00AD66AD" w:rsidRPr="00A32378" w:rsidRDefault="00AD66AD" w:rsidP="00E4400B">
      <w:pPr>
        <w:rPr>
          <w:rFonts w:ascii="Verdana" w:hAnsi="Verdana" w:cs="Arial"/>
          <w:sz w:val="16"/>
          <w:szCs w:val="16"/>
        </w:rPr>
      </w:pPr>
    </w:p>
    <w:sectPr w:rsidR="00AD66AD" w:rsidRPr="00A32378" w:rsidSect="00C53925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FC690" w14:textId="77777777" w:rsidR="00757C7A" w:rsidRDefault="00757C7A" w:rsidP="00F13291">
      <w:r>
        <w:separator/>
      </w:r>
    </w:p>
  </w:endnote>
  <w:endnote w:type="continuationSeparator" w:id="0">
    <w:p w14:paraId="228086C9" w14:textId="77777777" w:rsidR="00757C7A" w:rsidRDefault="00757C7A" w:rsidP="00F1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137DD" w14:textId="77777777" w:rsidR="00757C7A" w:rsidRDefault="00757C7A" w:rsidP="00F13291">
      <w:r>
        <w:separator/>
      </w:r>
    </w:p>
  </w:footnote>
  <w:footnote w:type="continuationSeparator" w:id="0">
    <w:p w14:paraId="31E1C746" w14:textId="77777777" w:rsidR="00757C7A" w:rsidRDefault="00757C7A" w:rsidP="00F13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752F"/>
    <w:multiLevelType w:val="hybridMultilevel"/>
    <w:tmpl w:val="D7C2D6A8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F719BB"/>
    <w:multiLevelType w:val="hybridMultilevel"/>
    <w:tmpl w:val="AAE81F10"/>
    <w:lvl w:ilvl="0" w:tplc="FCD2ADA8">
      <w:start w:val="6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668F4EAC"/>
    <w:multiLevelType w:val="hybridMultilevel"/>
    <w:tmpl w:val="E2128A16"/>
    <w:lvl w:ilvl="0" w:tplc="14E4AB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B4"/>
    <w:rsid w:val="00004D4B"/>
    <w:rsid w:val="00045710"/>
    <w:rsid w:val="000E198E"/>
    <w:rsid w:val="001806EA"/>
    <w:rsid w:val="001D27EE"/>
    <w:rsid w:val="001E6A15"/>
    <w:rsid w:val="00202568"/>
    <w:rsid w:val="002040A4"/>
    <w:rsid w:val="002115EE"/>
    <w:rsid w:val="002143C4"/>
    <w:rsid w:val="00257856"/>
    <w:rsid w:val="002C1BEB"/>
    <w:rsid w:val="002F131B"/>
    <w:rsid w:val="00310F8E"/>
    <w:rsid w:val="00377268"/>
    <w:rsid w:val="003952B9"/>
    <w:rsid w:val="003D5090"/>
    <w:rsid w:val="004F6874"/>
    <w:rsid w:val="005D50E6"/>
    <w:rsid w:val="005E760F"/>
    <w:rsid w:val="005F2774"/>
    <w:rsid w:val="0064021B"/>
    <w:rsid w:val="006C4874"/>
    <w:rsid w:val="006E0B5A"/>
    <w:rsid w:val="00745709"/>
    <w:rsid w:val="00757C7A"/>
    <w:rsid w:val="00784D86"/>
    <w:rsid w:val="007879D2"/>
    <w:rsid w:val="007A74FF"/>
    <w:rsid w:val="00827622"/>
    <w:rsid w:val="008966B7"/>
    <w:rsid w:val="008B1E9A"/>
    <w:rsid w:val="009249B3"/>
    <w:rsid w:val="0092749B"/>
    <w:rsid w:val="009E26D5"/>
    <w:rsid w:val="00A32378"/>
    <w:rsid w:val="00A55D15"/>
    <w:rsid w:val="00AD66AD"/>
    <w:rsid w:val="00B62C43"/>
    <w:rsid w:val="00BF0781"/>
    <w:rsid w:val="00C30CC8"/>
    <w:rsid w:val="00C51008"/>
    <w:rsid w:val="00C53925"/>
    <w:rsid w:val="00C80952"/>
    <w:rsid w:val="00D221A8"/>
    <w:rsid w:val="00D41162"/>
    <w:rsid w:val="00DD3EB4"/>
    <w:rsid w:val="00E33181"/>
    <w:rsid w:val="00E4400B"/>
    <w:rsid w:val="00E45D84"/>
    <w:rsid w:val="00E97E7F"/>
    <w:rsid w:val="00F1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E3D6D"/>
  <w15:chartTrackingRefBased/>
  <w15:docId w15:val="{860D2CE2-1AD8-4A67-808A-D174F6CC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enormalbleum11">
    <w:name w:val="textenormalbleum11"/>
    <w:basedOn w:val="Policepardfaut"/>
  </w:style>
  <w:style w:type="paragraph" w:styleId="Retraitcorpsdetexte">
    <w:name w:val="Body Text Indent"/>
    <w:basedOn w:val="Normal"/>
    <w:semiHidden/>
    <w:pPr>
      <w:ind w:firstLine="2268"/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F1329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1329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132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13291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143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43C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43C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43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43C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3C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3C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C48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MEILLERAY Steven</cp:lastModifiedBy>
  <cp:revision>2</cp:revision>
  <cp:lastPrinted>2024-05-14T08:20:00Z</cp:lastPrinted>
  <dcterms:created xsi:type="dcterms:W3CDTF">2026-03-06T12:17:00Z</dcterms:created>
  <dcterms:modified xsi:type="dcterms:W3CDTF">2026-03-06T12:17:00Z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0008009e000000000000010262610207f74006b004c800</vt:lpwstr>
  </property>
</Properties>
</file>