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70" w:rsidRPr="00822246" w:rsidRDefault="006B21E7" w:rsidP="00923E4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822246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8BB382B" wp14:editId="51669D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5780" cy="403860"/>
            <wp:effectExtent l="0" t="0" r="762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4038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802" w:rsidRPr="00822246">
        <w:rPr>
          <w:rFonts w:asciiTheme="minorHAnsi" w:hAnsiTheme="minorHAnsi" w:cstheme="minorHAnsi"/>
          <w:b/>
          <w:caps/>
          <w:sz w:val="28"/>
          <w:szCs w:val="28"/>
          <w:u w:val="single"/>
        </w:rPr>
        <w:t>FICHE MISSION</w:t>
      </w:r>
      <w:r w:rsidR="00AA0802" w:rsidRPr="00822246">
        <w:rPr>
          <w:rFonts w:asciiTheme="minorHAnsi" w:hAnsiTheme="minorHAnsi" w:cstheme="minorHAnsi"/>
          <w:b/>
          <w:caps/>
          <w:sz w:val="28"/>
          <w:szCs w:val="28"/>
        </w:rPr>
        <w:t> : AGENTE / AGENT FUNERAIRE</w:t>
      </w:r>
      <w:r w:rsidR="00B73838" w:rsidRPr="0082224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DA6A7E" w:rsidRDefault="00DA6A7E">
      <w:pPr>
        <w:jc w:val="center"/>
        <w:rPr>
          <w:rFonts w:asciiTheme="minorHAnsi" w:hAnsiTheme="minorHAnsi" w:cstheme="minorHAnsi"/>
          <w:sz w:val="10"/>
        </w:rPr>
      </w:pPr>
    </w:p>
    <w:p w:rsidR="006B21E7" w:rsidRPr="00785488" w:rsidRDefault="006B21E7">
      <w:pPr>
        <w:jc w:val="center"/>
        <w:rPr>
          <w:rFonts w:asciiTheme="minorHAnsi" w:hAnsiTheme="minorHAnsi" w:cstheme="minorHAnsi"/>
          <w:sz w:val="10"/>
        </w:rPr>
      </w:pPr>
    </w:p>
    <w:p w:rsidR="00DA6A7E" w:rsidRPr="00785488" w:rsidRDefault="00DA6A7E">
      <w:pPr>
        <w:jc w:val="center"/>
        <w:rPr>
          <w:rFonts w:asciiTheme="minorHAnsi" w:hAnsiTheme="minorHAnsi" w:cstheme="minorHAnsi"/>
          <w:sz w:val="10"/>
        </w:rPr>
      </w:pPr>
    </w:p>
    <w:p w:rsidR="00785488" w:rsidRPr="00785488" w:rsidRDefault="00785488" w:rsidP="00785488">
      <w:pPr>
        <w:jc w:val="center"/>
        <w:rPr>
          <w:rFonts w:asciiTheme="minorHAnsi" w:hAnsiTheme="minorHAnsi" w:cstheme="minorHAnsi"/>
          <w:sz w:val="20"/>
        </w:rPr>
      </w:pPr>
      <w:r w:rsidRPr="00785488">
        <w:rPr>
          <w:rFonts w:asciiTheme="minorHAnsi" w:hAnsiTheme="minorHAnsi" w:cstheme="minorHAnsi"/>
          <w:b/>
          <w:sz w:val="20"/>
        </w:rPr>
        <w:t xml:space="preserve">Direction de la citoyenneté et des relations usagers </w:t>
      </w:r>
      <w:r w:rsidRPr="00785488">
        <w:rPr>
          <w:rFonts w:asciiTheme="minorHAnsi" w:hAnsiTheme="minorHAnsi" w:cstheme="minorHAnsi"/>
          <w:b/>
          <w:bCs/>
          <w:sz w:val="20"/>
        </w:rPr>
        <w:t>/ Services funéraires</w:t>
      </w:r>
    </w:p>
    <w:tbl>
      <w:tblPr>
        <w:tblW w:w="11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6"/>
        <w:gridCol w:w="3363"/>
        <w:gridCol w:w="2388"/>
        <w:gridCol w:w="3300"/>
      </w:tblGrid>
      <w:tr w:rsidR="00BE7F00" w:rsidRPr="00785488" w:rsidTr="00F1654A">
        <w:trPr>
          <w:trHeight w:val="496"/>
          <w:jc w:val="center"/>
        </w:trPr>
        <w:tc>
          <w:tcPr>
            <w:tcW w:w="5749" w:type="dxa"/>
            <w:gridSpan w:val="2"/>
            <w:tcBorders>
              <w:right w:val="dashed" w:sz="8" w:space="0" w:color="auto"/>
            </w:tcBorders>
          </w:tcPr>
          <w:p w:rsidR="00BE7F00" w:rsidRPr="00785488" w:rsidRDefault="00DA6A7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Niveau d’emplois</w:t>
            </w:r>
          </w:p>
          <w:p w:rsidR="00BE7F00" w:rsidRPr="00785488" w:rsidRDefault="00BE7F00" w:rsidP="00BE7F00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Catégorie :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</w:p>
          <w:p w:rsidR="00BE7F00" w:rsidRPr="00785488" w:rsidRDefault="00BE7F00" w:rsidP="00BE7F00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Filière :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Technique</w:t>
            </w:r>
          </w:p>
          <w:p w:rsidR="00BE7F00" w:rsidRPr="00785488" w:rsidRDefault="00BE7F00" w:rsidP="00BE7F00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Cadre d’emplois :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Adjoints techniques territoriaux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BE7F00" w:rsidRPr="00785488" w:rsidRDefault="00BE7F00" w:rsidP="00BE7F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Cotation RIFSEEP</w:t>
            </w:r>
          </w:p>
          <w:p w:rsidR="00BE7F00" w:rsidRPr="00785488" w:rsidRDefault="00BE7F00" w:rsidP="00BE7F0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BE7F00" w:rsidRPr="00785488" w:rsidRDefault="00BE7F00" w:rsidP="00ED55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Cs/>
                <w:sz w:val="18"/>
                <w:szCs w:val="18"/>
              </w:rPr>
              <w:t>C</w:t>
            </w:r>
            <w:r w:rsidR="00DE4D53" w:rsidRPr="00785488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BE7F00" w:rsidRPr="00785488" w:rsidRDefault="00BE7F00" w:rsidP="00BE7F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Temps de travail</w:t>
            </w:r>
          </w:p>
          <w:p w:rsidR="00BE7F00" w:rsidRPr="00785488" w:rsidRDefault="00BE7F00" w:rsidP="00BE7F0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E7F00" w:rsidRPr="00785488" w:rsidRDefault="00BE7F00" w:rsidP="002270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Temps complet</w:t>
            </w:r>
          </w:p>
        </w:tc>
      </w:tr>
      <w:tr w:rsidR="00E84870" w:rsidRPr="00785488" w:rsidTr="00F1654A">
        <w:trPr>
          <w:trHeight w:val="701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Situation fonctionnelle</w:t>
            </w:r>
          </w:p>
          <w:p w:rsidR="00E84870" w:rsidRPr="00785488" w:rsidRDefault="00E848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Réf</w:t>
            </w:r>
            <w:r w:rsidR="00887BD7"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hiérarchique</w:t>
            </w:r>
          </w:p>
          <w:p w:rsidR="00E84870" w:rsidRPr="00785488" w:rsidRDefault="00E848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Positionnement</w:t>
            </w:r>
          </w:p>
        </w:tc>
        <w:tc>
          <w:tcPr>
            <w:tcW w:w="9051" w:type="dxa"/>
            <w:gridSpan w:val="3"/>
          </w:tcPr>
          <w:p w:rsidR="00E84870" w:rsidRPr="00785488" w:rsidRDefault="00E84870" w:rsidP="00BE3C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4870" w:rsidRPr="00785488" w:rsidRDefault="00F11FC3" w:rsidP="00BE3C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227085" w:rsidRPr="00785488">
              <w:rPr>
                <w:rFonts w:asciiTheme="minorHAnsi" w:hAnsiTheme="minorHAnsi" w:cstheme="minorHAnsi"/>
                <w:sz w:val="18"/>
                <w:szCs w:val="18"/>
              </w:rPr>
              <w:t>e r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esponsable d’</w:t>
            </w:r>
            <w:r w:rsidR="00227085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exploitation pompes funèbres </w:t>
            </w:r>
          </w:p>
          <w:p w:rsidR="00E84870" w:rsidRPr="00785488" w:rsidRDefault="00E84870" w:rsidP="00887BD7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Au sein </w:t>
            </w:r>
            <w:r w:rsidR="00F55537" w:rsidRPr="00785488">
              <w:rPr>
                <w:rFonts w:asciiTheme="minorHAnsi" w:hAnsiTheme="minorHAnsi" w:cstheme="minorHAnsi"/>
                <w:sz w:val="18"/>
                <w:szCs w:val="18"/>
              </w:rPr>
              <w:t>d’un service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E3C0C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funéraire composé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de 36 personnes, vous faites partie 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des 20 agents 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>exerçant aux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pompes funèbres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répartie d’une part sur l’exploitation des pompes funèbres et d’autre part sur les activités des cimetières :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1 conservateur et son adjoint, 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2 gardiens de cimetières, </w:t>
            </w:r>
            <w:r w:rsidR="00F039D5" w:rsidRPr="0078548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>agents funéraires, 1 responsable d’exploitation des pompes funèbres, 4 maitres de cérémonie et 3 assistants funéraires.</w:t>
            </w:r>
          </w:p>
        </w:tc>
      </w:tr>
      <w:tr w:rsidR="00E84870" w:rsidRPr="00785488" w:rsidTr="00F1654A">
        <w:trPr>
          <w:trHeight w:val="985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Relations fonctionnelles</w:t>
            </w:r>
          </w:p>
          <w:p w:rsidR="00E84870" w:rsidRPr="00785488" w:rsidRDefault="00E848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Internes</w:t>
            </w:r>
          </w:p>
          <w:p w:rsidR="00E84870" w:rsidRPr="00785488" w:rsidRDefault="00E8487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Externes</w:t>
            </w:r>
          </w:p>
        </w:tc>
        <w:tc>
          <w:tcPr>
            <w:tcW w:w="9051" w:type="dxa"/>
            <w:gridSpan w:val="3"/>
          </w:tcPr>
          <w:p w:rsidR="00E84870" w:rsidRPr="00785488" w:rsidRDefault="00E84870" w:rsidP="00BE3C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4870" w:rsidRPr="00785488" w:rsidRDefault="00BE3C0C" w:rsidP="00BE3C0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Relations 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>permanent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  <w:r w:rsidR="003D622E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avec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les agents du service 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Collaboration ponctuelle avec les services techniques de la ville</w:t>
            </w:r>
          </w:p>
          <w:p w:rsidR="00E84870" w:rsidRPr="00785488" w:rsidRDefault="00C0353A" w:rsidP="00A657C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Contacts directs avec l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es familles lors des cérémonies - 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Relations régulières avec les différents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services (police, hôpitaux, cliniques, maisons de retraite)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et 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>prestataires de service (opérateurs fun</w:t>
            </w:r>
            <w:r w:rsidR="004A51BD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éraires et marbriers notamment) - </w:t>
            </w:r>
            <w:r w:rsidR="00E84870" w:rsidRPr="00785488">
              <w:rPr>
                <w:rFonts w:asciiTheme="minorHAnsi" w:hAnsiTheme="minorHAnsi" w:cstheme="minorHAnsi"/>
                <w:sz w:val="18"/>
                <w:szCs w:val="18"/>
              </w:rPr>
              <w:t>Relations avec les usagers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et les familles</w:t>
            </w:r>
          </w:p>
        </w:tc>
      </w:tr>
      <w:tr w:rsidR="00E84870" w:rsidRPr="00785488" w:rsidTr="00F1654A">
        <w:trPr>
          <w:trHeight w:val="367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Mission principale</w:t>
            </w:r>
          </w:p>
        </w:tc>
        <w:tc>
          <w:tcPr>
            <w:tcW w:w="9051" w:type="dxa"/>
            <w:gridSpan w:val="3"/>
          </w:tcPr>
          <w:p w:rsidR="00E84870" w:rsidRPr="00785488" w:rsidRDefault="00F11FC3" w:rsidP="00E852A7">
            <w:pPr>
              <w:widowControl w:val="0"/>
              <w:spacing w:line="182" w:lineRule="exact"/>
              <w:ind w:right="-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C0353A" w:rsidRPr="007854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ous participez à l’exécution des prestations de pompes funèbres selon la définition légale (transport avant et après mise en bière, mise en bière, </w:t>
            </w:r>
            <w:r w:rsidR="00785488" w:rsidRPr="007854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inhumation, …</w:t>
            </w:r>
            <w:r w:rsidR="00C0353A" w:rsidRPr="007854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 dans le cadre de l’habilitation préfectorale délivrée à la Régie Municipale des Pompes Funèbres.</w:t>
            </w:r>
            <w:bookmarkStart w:id="0" w:name="_GoBack"/>
            <w:bookmarkEnd w:id="0"/>
          </w:p>
        </w:tc>
      </w:tr>
      <w:tr w:rsidR="00E84870" w:rsidRPr="00785488" w:rsidTr="00F1654A">
        <w:trPr>
          <w:trHeight w:val="2378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Activités du poste</w:t>
            </w:r>
          </w:p>
        </w:tc>
        <w:tc>
          <w:tcPr>
            <w:tcW w:w="9051" w:type="dxa"/>
            <w:gridSpan w:val="3"/>
          </w:tcPr>
          <w:p w:rsidR="00C0353A" w:rsidRPr="00785488" w:rsidRDefault="00C0353A" w:rsidP="00C0353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Participer sous l’autorité des maîtres de cérémonie à l’exécution matérielle et au bon déroulement des obsèques</w:t>
            </w:r>
          </w:p>
          <w:p w:rsidR="00F11FC3" w:rsidRPr="00785488" w:rsidRDefault="00A657C0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Assurer le t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ransport de corps</w:t>
            </w:r>
            <w:r w:rsidR="00F11FC3">
              <w:rPr>
                <w:rFonts w:asciiTheme="minorHAnsi" w:hAnsiTheme="minorHAnsi" w:cstheme="minorHAnsi"/>
                <w:sz w:val="18"/>
                <w:szCs w:val="18"/>
              </w:rPr>
              <w:t xml:space="preserve"> et mise en bière</w:t>
            </w:r>
          </w:p>
          <w:p w:rsidR="00C0353A" w:rsidRPr="00785488" w:rsidRDefault="00C0353A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Prépar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et port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>er l</w:t>
            </w:r>
            <w:r w:rsidR="003D622E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es cercueils et urnes /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Port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des fleurs et couronnes </w:t>
            </w:r>
          </w:p>
          <w:p w:rsidR="00C0353A" w:rsidRDefault="00C0353A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Particip</w:t>
            </w:r>
            <w:r w:rsidR="00A657C0" w:rsidRPr="00785488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à l’exécution des prestations funéraires</w:t>
            </w:r>
          </w:p>
          <w:p w:rsidR="00F11FC3" w:rsidRDefault="00F11FC3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Participer aux convois funéraires</w:t>
            </w:r>
          </w:p>
          <w:p w:rsidR="00F11FC3" w:rsidRPr="00785488" w:rsidRDefault="00F11FC3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Procéder aux inhumations</w:t>
            </w:r>
          </w:p>
          <w:p w:rsidR="00A657C0" w:rsidRPr="00785488" w:rsidRDefault="00A657C0" w:rsidP="00C0353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Conduite et entretien des véhicules et matériel</w:t>
            </w:r>
          </w:p>
          <w:p w:rsidR="00A657C0" w:rsidRPr="00785488" w:rsidRDefault="00A657C0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Effectuer le transport entre différents lieux</w:t>
            </w:r>
          </w:p>
          <w:p w:rsidR="00C0353A" w:rsidRPr="00785488" w:rsidRDefault="00A657C0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S’assurer du bon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entretien des véhicules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et du matériel</w:t>
            </w:r>
          </w:p>
          <w:p w:rsidR="00A657C0" w:rsidRPr="00785488" w:rsidRDefault="00A657C0" w:rsidP="00C0353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Repérer les dysfonctionnements et les signaler</w:t>
            </w:r>
          </w:p>
          <w:p w:rsidR="00923E42" w:rsidRPr="00785488" w:rsidRDefault="00923E42" w:rsidP="009A06D6">
            <w:pPr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C0353A" w:rsidRPr="00785488" w:rsidRDefault="00C0353A" w:rsidP="00C0353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Participation à toutes activités techniques rendues nécessaires pour les besoins du service</w:t>
            </w:r>
          </w:p>
          <w:p w:rsidR="00923E42" w:rsidRPr="00785488" w:rsidRDefault="00923E42" w:rsidP="00C0353A">
            <w:pPr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E84870" w:rsidRPr="00785488" w:rsidRDefault="00BE3C0C" w:rsidP="003D622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En fonctio</w:t>
            </w:r>
            <w:r w:rsidR="007B7FBE"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 des nécessités de service </w:t>
            </w: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et ponctuellement </w:t>
            </w:r>
            <w:r w:rsidR="00C22533"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pour de</w:t>
            </w:r>
            <w:r w:rsidR="00565904"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courtes périodes, </w:t>
            </w:r>
            <w:r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suppléance possible </w:t>
            </w:r>
            <w:r w:rsidR="00C22533" w:rsidRPr="00785488">
              <w:rPr>
                <w:rFonts w:asciiTheme="minorHAnsi" w:hAnsiTheme="minorHAnsi" w:cstheme="minorHAnsi"/>
                <w:b/>
                <w:sz w:val="18"/>
                <w:szCs w:val="18"/>
              </w:rPr>
              <w:t>des gardiens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84870" w:rsidRPr="00785488" w:rsidTr="00F1654A">
        <w:trPr>
          <w:trHeight w:val="25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Compétences requises</w:t>
            </w:r>
          </w:p>
        </w:tc>
        <w:tc>
          <w:tcPr>
            <w:tcW w:w="9051" w:type="dxa"/>
            <w:gridSpan w:val="3"/>
          </w:tcPr>
          <w:p w:rsidR="009A06D6" w:rsidRPr="00785488" w:rsidRDefault="00BE3C0C" w:rsidP="005D663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Connaissance de base de la réglementation et de la législation applicable au secteur </w:t>
            </w:r>
            <w:r w:rsidR="00923E42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Aptitudes physiques indispensabl</w:t>
            </w:r>
            <w:r w:rsidR="00565904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es pour le 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port de charges lourdes</w:t>
            </w:r>
            <w:r w:rsidR="003D622E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Capacité à travailler en équipe, à rendre compte, à délivrer une information fiable </w:t>
            </w:r>
            <w:r w:rsidR="00452687" w:rsidRPr="00785488">
              <w:rPr>
                <w:rFonts w:asciiTheme="minorHAnsi" w:hAnsiTheme="minorHAnsi" w:cstheme="minorHAnsi"/>
                <w:sz w:val="18"/>
                <w:szCs w:val="18"/>
              </w:rPr>
              <w:t>– Capacité à faire preuve de réactiv</w:t>
            </w:r>
            <w:r w:rsidR="00923E42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ité, de rigueur – Disponibilité -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Ponctualité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11FC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Sens</w:t>
            </w:r>
            <w:r w:rsidR="00F11FC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45268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l'observation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5268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Discrétion et tact pour permettre</w:t>
            </w:r>
            <w:r w:rsidR="00565904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le recueillement des familles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Sens du contact et de la relation humaine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- Bonne présentation et sens du service public</w:t>
            </w:r>
            <w:r w:rsidR="003D622E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Permis B </w:t>
            </w:r>
            <w:r w:rsidR="00F11FC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fortement souhaités </w:t>
            </w:r>
          </w:p>
        </w:tc>
      </w:tr>
      <w:tr w:rsidR="00E84870" w:rsidRPr="00785488" w:rsidTr="00F1654A">
        <w:trPr>
          <w:trHeight w:val="2151"/>
          <w:jc w:val="center"/>
        </w:trPr>
        <w:tc>
          <w:tcPr>
            <w:tcW w:w="2386" w:type="dxa"/>
          </w:tcPr>
          <w:p w:rsidR="00E84870" w:rsidRPr="00785488" w:rsidRDefault="00E84870" w:rsidP="005659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Observations</w:t>
            </w:r>
          </w:p>
        </w:tc>
        <w:tc>
          <w:tcPr>
            <w:tcW w:w="9051" w:type="dxa"/>
            <w:gridSpan w:val="3"/>
          </w:tcPr>
          <w:p w:rsidR="00E84870" w:rsidRPr="00785488" w:rsidRDefault="00E84870" w:rsidP="00BE3C0C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iCs/>
                <w:sz w:val="18"/>
                <w:szCs w:val="18"/>
                <w:u w:val="single"/>
              </w:rPr>
              <w:t>Horaires de travail</w:t>
            </w:r>
            <w:r w:rsidRPr="00785488">
              <w:rPr>
                <w:rFonts w:asciiTheme="minorHAnsi" w:hAnsiTheme="minorHAnsi" w:cstheme="minorHAnsi"/>
                <w:iCs/>
                <w:sz w:val="18"/>
                <w:szCs w:val="18"/>
              </w:rPr>
              <w:t> :</w:t>
            </w:r>
          </w:p>
          <w:p w:rsidR="00E84870" w:rsidRPr="00785488" w:rsidRDefault="00E84870" w:rsidP="007B7F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Du lundi au </w:t>
            </w:r>
            <w:r w:rsidR="00C0353A" w:rsidRPr="00785488">
              <w:rPr>
                <w:rFonts w:asciiTheme="minorHAnsi" w:hAnsiTheme="minorHAnsi" w:cstheme="minorHAnsi"/>
                <w:iCs/>
                <w:sz w:val="18"/>
                <w:szCs w:val="18"/>
              </w:rPr>
              <w:t>samedi, par roulement,</w:t>
            </w:r>
            <w:r w:rsidRPr="0078548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de </w:t>
            </w:r>
            <w:r w:rsidRPr="0078548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8H30 à 12H00 et de 13H</w:t>
            </w:r>
            <w:r w:rsidR="00CF32E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12</w:t>
            </w:r>
            <w:r w:rsidRPr="0078548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à 17H00</w:t>
            </w:r>
            <w:r w:rsidRPr="00785488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mais les horaires sont </w:t>
            </w:r>
            <w:r w:rsidRPr="007854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modulables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en fonction des </w:t>
            </w:r>
            <w:r w:rsidR="007B7FBE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plannings et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nécessités de service</w:t>
            </w:r>
            <w:r w:rsidR="00565904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65904" w:rsidRPr="007854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notamment dans le cadre de l’activité des pompes funèbres qui s’exerce aussi le samedi</w:t>
            </w:r>
            <w:r w:rsidR="00565904" w:rsidRPr="0078548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C0353A" w:rsidRPr="00785488" w:rsidRDefault="00C0353A" w:rsidP="007B7FB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L’agent est soumis au </w:t>
            </w:r>
            <w:r w:rsidRPr="00785488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système de l’astreinte à domicile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: environ 1 semaine </w:t>
            </w:r>
            <w:r w:rsidR="00F11FC3">
              <w:rPr>
                <w:rFonts w:asciiTheme="minorHAnsi" w:hAnsiTheme="minorHAnsi" w:cstheme="minorHAnsi"/>
                <w:sz w:val="18"/>
                <w:szCs w:val="18"/>
              </w:rPr>
              <w:t xml:space="preserve">sur 4 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et peut-être appelé à se déplacer en dehors des heures normales de travail, la nuit ou les week-ends/ fériés compris, pour seconder un maître de cérémonie et effectuer, à la demande des familles ou sur réquisition de police, des prestations de Pompes Funèbres selon la définition légale et conformément à l’habilitation préfectorale délivrée à la Régie </w:t>
            </w:r>
            <w:r w:rsidR="007B7FBE" w:rsidRPr="00785488">
              <w:rPr>
                <w:rFonts w:asciiTheme="minorHAnsi" w:hAnsiTheme="minorHAnsi" w:cstheme="minorHAnsi"/>
                <w:sz w:val="18"/>
                <w:szCs w:val="18"/>
              </w:rPr>
              <w:t>Municipale des Pompes Funèbres.</w:t>
            </w:r>
          </w:p>
          <w:p w:rsidR="003D622E" w:rsidRPr="00785488" w:rsidRDefault="00C0353A" w:rsidP="00887BD7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Tenue de travail</w:t>
            </w: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87BD7" w:rsidRPr="00785488">
              <w:rPr>
                <w:rFonts w:asciiTheme="minorHAnsi" w:hAnsiTheme="minorHAnsi" w:cstheme="minorHAnsi"/>
                <w:sz w:val="18"/>
                <w:szCs w:val="18"/>
              </w:rPr>
              <w:t>spécifique p</w:t>
            </w:r>
            <w:r w:rsidR="00E372D0" w:rsidRPr="00785488">
              <w:rPr>
                <w:rFonts w:asciiTheme="minorHAnsi" w:hAnsiTheme="minorHAnsi" w:cstheme="minorHAnsi"/>
                <w:sz w:val="18"/>
                <w:szCs w:val="18"/>
              </w:rPr>
              <w:t xml:space="preserve">our </w:t>
            </w:r>
            <w:r w:rsidR="003D622E" w:rsidRPr="00785488">
              <w:rPr>
                <w:rFonts w:asciiTheme="minorHAnsi" w:hAnsiTheme="minorHAnsi" w:cstheme="minorHAnsi"/>
                <w:sz w:val="18"/>
                <w:szCs w:val="18"/>
              </w:rPr>
              <w:t>chacune des activités du poste</w:t>
            </w:r>
          </w:p>
          <w:p w:rsidR="00F1654A" w:rsidRPr="00785488" w:rsidRDefault="003D622E" w:rsidP="00832EE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548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C0353A" w:rsidRPr="00785488">
              <w:rPr>
                <w:rFonts w:asciiTheme="minorHAnsi" w:hAnsiTheme="minorHAnsi" w:cstheme="minorHAnsi"/>
                <w:sz w:val="18"/>
                <w:szCs w:val="18"/>
              </w:rPr>
              <w:t>e service fournira une tenue (costume, cravate, chemise chaussures, tenue de fossoyage) dont le port est impératif.</w:t>
            </w:r>
          </w:p>
        </w:tc>
      </w:tr>
    </w:tbl>
    <w:p w:rsidR="00E84870" w:rsidRPr="00785488" w:rsidRDefault="00E84870" w:rsidP="003D622E">
      <w:pPr>
        <w:jc w:val="both"/>
        <w:rPr>
          <w:rFonts w:asciiTheme="minorHAnsi" w:hAnsiTheme="minorHAnsi" w:cstheme="minorHAnsi"/>
          <w:sz w:val="20"/>
        </w:rPr>
      </w:pPr>
    </w:p>
    <w:sectPr w:rsidR="00E84870" w:rsidRPr="00785488" w:rsidSect="00887BD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CF3"/>
    <w:multiLevelType w:val="hybridMultilevel"/>
    <w:tmpl w:val="08F4E626"/>
    <w:lvl w:ilvl="0" w:tplc="D154023E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CCD374D"/>
    <w:multiLevelType w:val="hybridMultilevel"/>
    <w:tmpl w:val="8E88982E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DD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FA218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26915"/>
    <w:multiLevelType w:val="hybridMultilevel"/>
    <w:tmpl w:val="91BC6056"/>
    <w:lvl w:ilvl="0" w:tplc="C42209C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auto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A088E"/>
    <w:multiLevelType w:val="hybridMultilevel"/>
    <w:tmpl w:val="DA3A7BD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16FB5"/>
    <w:multiLevelType w:val="hybridMultilevel"/>
    <w:tmpl w:val="5F8E2B84"/>
    <w:lvl w:ilvl="0" w:tplc="469E8722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1453"/>
    <w:multiLevelType w:val="singleLevel"/>
    <w:tmpl w:val="E120212A"/>
    <w:lvl w:ilvl="0">
      <w:numFmt w:val="bullet"/>
      <w:lvlText w:val=""/>
      <w:lvlJc w:val="left"/>
      <w:pPr>
        <w:tabs>
          <w:tab w:val="num" w:pos="1398"/>
        </w:tabs>
        <w:ind w:left="1398" w:hanging="405"/>
      </w:pPr>
      <w:rPr>
        <w:rFonts w:ascii="Wingdings" w:hAnsi="Wingdings" w:hint="default"/>
      </w:rPr>
    </w:lvl>
  </w:abstractNum>
  <w:abstractNum w:abstractNumId="9" w15:restartNumberingAfterBreak="0">
    <w:nsid w:val="4CE07EDB"/>
    <w:multiLevelType w:val="hybridMultilevel"/>
    <w:tmpl w:val="BDACFFEE"/>
    <w:lvl w:ilvl="0" w:tplc="D154023E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D154023E">
      <w:start w:val="1"/>
      <w:numFmt w:val="bullet"/>
      <w:lvlText w:val=""/>
      <w:lvlJc w:val="left"/>
      <w:pPr>
        <w:tabs>
          <w:tab w:val="num" w:pos="1080"/>
        </w:tabs>
        <w:ind w:left="94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51529"/>
    <w:multiLevelType w:val="singleLevel"/>
    <w:tmpl w:val="EB2C961E"/>
    <w:lvl w:ilvl="0">
      <w:numFmt w:val="bullet"/>
      <w:lvlText w:val="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</w:abstractNum>
  <w:abstractNum w:abstractNumId="11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12798"/>
    <w:multiLevelType w:val="hybridMultilevel"/>
    <w:tmpl w:val="BDACFFEE"/>
    <w:lvl w:ilvl="0" w:tplc="07049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54023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85"/>
    <w:rsid w:val="00032DF7"/>
    <w:rsid w:val="000414EB"/>
    <w:rsid w:val="000B4C97"/>
    <w:rsid w:val="000C7D0A"/>
    <w:rsid w:val="000D2DE1"/>
    <w:rsid w:val="000E1975"/>
    <w:rsid w:val="000F6D55"/>
    <w:rsid w:val="00165476"/>
    <w:rsid w:val="00184500"/>
    <w:rsid w:val="00227085"/>
    <w:rsid w:val="0029436C"/>
    <w:rsid w:val="002C129B"/>
    <w:rsid w:val="002C3A75"/>
    <w:rsid w:val="002D38DF"/>
    <w:rsid w:val="003347F5"/>
    <w:rsid w:val="00336AC3"/>
    <w:rsid w:val="00364290"/>
    <w:rsid w:val="00381656"/>
    <w:rsid w:val="003D622E"/>
    <w:rsid w:val="00452687"/>
    <w:rsid w:val="00452E38"/>
    <w:rsid w:val="00471C9C"/>
    <w:rsid w:val="004A51BD"/>
    <w:rsid w:val="004B4D74"/>
    <w:rsid w:val="00526551"/>
    <w:rsid w:val="005622FE"/>
    <w:rsid w:val="00565904"/>
    <w:rsid w:val="0059225F"/>
    <w:rsid w:val="005C40C6"/>
    <w:rsid w:val="005D6633"/>
    <w:rsid w:val="006A321A"/>
    <w:rsid w:val="006B21E7"/>
    <w:rsid w:val="006B6D89"/>
    <w:rsid w:val="006E0E4C"/>
    <w:rsid w:val="00752776"/>
    <w:rsid w:val="007829F4"/>
    <w:rsid w:val="0078321F"/>
    <w:rsid w:val="00785488"/>
    <w:rsid w:val="0078576D"/>
    <w:rsid w:val="007B7FBE"/>
    <w:rsid w:val="007D6729"/>
    <w:rsid w:val="00802722"/>
    <w:rsid w:val="00813263"/>
    <w:rsid w:val="00822246"/>
    <w:rsid w:val="00830264"/>
    <w:rsid w:val="00832EE1"/>
    <w:rsid w:val="0088506B"/>
    <w:rsid w:val="00887BD7"/>
    <w:rsid w:val="0089453F"/>
    <w:rsid w:val="008C1196"/>
    <w:rsid w:val="00923E42"/>
    <w:rsid w:val="0092569A"/>
    <w:rsid w:val="00957CFC"/>
    <w:rsid w:val="009A06D6"/>
    <w:rsid w:val="009D13F3"/>
    <w:rsid w:val="009E6B24"/>
    <w:rsid w:val="00A14CE6"/>
    <w:rsid w:val="00A42CA9"/>
    <w:rsid w:val="00A657C0"/>
    <w:rsid w:val="00A91D2E"/>
    <w:rsid w:val="00A97D94"/>
    <w:rsid w:val="00AA0802"/>
    <w:rsid w:val="00B359A3"/>
    <w:rsid w:val="00B6115B"/>
    <w:rsid w:val="00B6138F"/>
    <w:rsid w:val="00B73838"/>
    <w:rsid w:val="00BE3C0C"/>
    <w:rsid w:val="00BE7F00"/>
    <w:rsid w:val="00C0353A"/>
    <w:rsid w:val="00C22533"/>
    <w:rsid w:val="00C633EC"/>
    <w:rsid w:val="00C71E59"/>
    <w:rsid w:val="00C746F7"/>
    <w:rsid w:val="00C911E8"/>
    <w:rsid w:val="00CA1E7B"/>
    <w:rsid w:val="00CE6385"/>
    <w:rsid w:val="00CF32E0"/>
    <w:rsid w:val="00D0167E"/>
    <w:rsid w:val="00D115DE"/>
    <w:rsid w:val="00D35523"/>
    <w:rsid w:val="00D4198A"/>
    <w:rsid w:val="00D74DAE"/>
    <w:rsid w:val="00DA6A7E"/>
    <w:rsid w:val="00DB56B3"/>
    <w:rsid w:val="00DE4D53"/>
    <w:rsid w:val="00DF3D5F"/>
    <w:rsid w:val="00E03973"/>
    <w:rsid w:val="00E04E61"/>
    <w:rsid w:val="00E2340A"/>
    <w:rsid w:val="00E372D0"/>
    <w:rsid w:val="00E76A0B"/>
    <w:rsid w:val="00E84870"/>
    <w:rsid w:val="00E852A7"/>
    <w:rsid w:val="00ED552F"/>
    <w:rsid w:val="00EE3985"/>
    <w:rsid w:val="00EF1AC5"/>
    <w:rsid w:val="00F02CC4"/>
    <w:rsid w:val="00F02D12"/>
    <w:rsid w:val="00F039D5"/>
    <w:rsid w:val="00F11FC3"/>
    <w:rsid w:val="00F1654A"/>
    <w:rsid w:val="00F43A4A"/>
    <w:rsid w:val="00F55537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8FA7F"/>
  <w15:chartTrackingRefBased/>
  <w15:docId w15:val="{92845550-F410-4486-BFF4-E854F3F4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Retraitcorpsdetexte">
    <w:name w:val="Body Text Indent"/>
    <w:basedOn w:val="Normal"/>
    <w:semiHidden/>
    <w:pPr>
      <w:tabs>
        <w:tab w:val="left" w:pos="-1560"/>
        <w:tab w:val="left" w:pos="-426"/>
        <w:tab w:val="left" w:pos="4678"/>
      </w:tabs>
      <w:ind w:right="-568" w:firstLine="1134"/>
      <w:jc w:val="both"/>
    </w:pPr>
    <w:rPr>
      <w:rFonts w:ascii="CG Times" w:hAnsi="CG Times"/>
      <w:i/>
      <w:szCs w:val="20"/>
    </w:rPr>
  </w:style>
  <w:style w:type="paragraph" w:styleId="Corpsdetexte3">
    <w:name w:val="Body Text 3"/>
    <w:basedOn w:val="Normal"/>
    <w:semiHidden/>
    <w:rPr>
      <w:rFonts w:ascii="Arial" w:hAnsi="Arial" w:cs="Arial"/>
      <w:b/>
      <w:bCs/>
      <w:sz w:val="20"/>
    </w:rPr>
  </w:style>
  <w:style w:type="paragraph" w:styleId="Retraitcorpsdetexte2">
    <w:name w:val="Body Text Indent 2"/>
    <w:basedOn w:val="Normal"/>
    <w:semiHidden/>
    <w:pPr>
      <w:tabs>
        <w:tab w:val="left" w:pos="-1560"/>
        <w:tab w:val="left" w:pos="-426"/>
        <w:tab w:val="left" w:pos="4678"/>
      </w:tabs>
      <w:ind w:firstLine="1134"/>
      <w:jc w:val="both"/>
    </w:pPr>
    <w:rPr>
      <w:rFonts w:ascii="Arial" w:hAnsi="Arial" w:cs="Arial"/>
      <w:i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5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4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6A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0C7D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7D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7D0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7D0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C7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C762-ABA3-41B9-9F41-EF1574DA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565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7</cp:revision>
  <cp:lastPrinted>2013-04-19T12:44:00Z</cp:lastPrinted>
  <dcterms:created xsi:type="dcterms:W3CDTF">2023-09-01T09:19:00Z</dcterms:created>
  <dcterms:modified xsi:type="dcterms:W3CDTF">2024-02-15T15:11:00Z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000800c0000000000000010262610207f74006b004c800</vt:lpwstr>
  </property>
</Properties>
</file>