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45" w:rsidRDefault="0025409F" w:rsidP="000D453D">
      <w:pPr>
        <w:tabs>
          <w:tab w:val="center" w:pos="5216"/>
        </w:tabs>
        <w:rPr>
          <w:rFonts w:ascii="Verdana" w:hAnsi="Verdana" w:cs="Calibri"/>
          <w:b/>
          <w:caps/>
        </w:rPr>
      </w:pPr>
      <w:r w:rsidRPr="0025409F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153035</wp:posOffset>
            </wp:positionV>
            <wp:extent cx="466725" cy="46990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3D" w:rsidRPr="0025409F">
        <w:rPr>
          <w:rFonts w:ascii="Verdana" w:hAnsi="Verdana" w:cs="Calibri"/>
          <w:b/>
          <w:caps/>
        </w:rPr>
        <w:tab/>
      </w:r>
    </w:p>
    <w:p w:rsidR="0025409F" w:rsidRDefault="0025409F" w:rsidP="00CE6D45">
      <w:pPr>
        <w:tabs>
          <w:tab w:val="center" w:pos="5216"/>
        </w:tabs>
        <w:jc w:val="center"/>
        <w:rPr>
          <w:rFonts w:ascii="Verdana" w:hAnsi="Verdana" w:cs="Calibri"/>
          <w:b/>
          <w:caps/>
        </w:rPr>
      </w:pPr>
      <w:r w:rsidRPr="0025409F">
        <w:rPr>
          <w:rFonts w:ascii="Verdana" w:hAnsi="Verdana" w:cs="Calibri"/>
          <w:b/>
          <w:caps/>
        </w:rPr>
        <w:t>COORDON</w:t>
      </w:r>
      <w:r>
        <w:rPr>
          <w:rFonts w:ascii="Verdana" w:hAnsi="Verdana" w:cs="Calibri"/>
          <w:b/>
          <w:caps/>
        </w:rPr>
        <w:t xml:space="preserve">Natrice </w:t>
      </w:r>
      <w:r w:rsidR="00CE6D45" w:rsidRPr="0025409F">
        <w:rPr>
          <w:rFonts w:ascii="Verdana" w:hAnsi="Verdana" w:cs="Calibri"/>
          <w:b/>
          <w:caps/>
        </w:rPr>
        <w:t>ADMINISTRATI</w:t>
      </w:r>
      <w:r w:rsidR="00CE6D45">
        <w:rPr>
          <w:rFonts w:ascii="Verdana" w:hAnsi="Verdana" w:cs="Calibri"/>
          <w:b/>
          <w:caps/>
        </w:rPr>
        <w:t xml:space="preserve">VE </w:t>
      </w:r>
      <w:r>
        <w:rPr>
          <w:rFonts w:ascii="Verdana" w:hAnsi="Verdana" w:cs="Calibri"/>
          <w:b/>
          <w:caps/>
        </w:rPr>
        <w:t xml:space="preserve">/ </w:t>
      </w:r>
      <w:r w:rsidR="00123CDF" w:rsidRPr="0025409F">
        <w:rPr>
          <w:rFonts w:ascii="Verdana" w:hAnsi="Verdana" w:cs="Calibri"/>
          <w:b/>
          <w:caps/>
        </w:rPr>
        <w:t>COORDO</w:t>
      </w:r>
      <w:r w:rsidR="00CE6D45">
        <w:rPr>
          <w:rFonts w:ascii="Verdana" w:hAnsi="Verdana" w:cs="Calibri"/>
          <w:b/>
          <w:caps/>
        </w:rPr>
        <w:t>n</w:t>
      </w:r>
      <w:r w:rsidR="00123CDF" w:rsidRPr="0025409F">
        <w:rPr>
          <w:rFonts w:ascii="Verdana" w:hAnsi="Verdana" w:cs="Calibri"/>
          <w:b/>
          <w:caps/>
        </w:rPr>
        <w:t>NATEUR</w:t>
      </w:r>
    </w:p>
    <w:p w:rsidR="00CF59A1" w:rsidRPr="0025409F" w:rsidRDefault="00123CDF" w:rsidP="00CE6D45">
      <w:pPr>
        <w:tabs>
          <w:tab w:val="center" w:pos="5216"/>
        </w:tabs>
        <w:jc w:val="center"/>
        <w:rPr>
          <w:rFonts w:ascii="Verdana" w:hAnsi="Verdana" w:cs="Calibri"/>
          <w:b/>
          <w:caps/>
        </w:rPr>
      </w:pPr>
      <w:r w:rsidRPr="0025409F">
        <w:rPr>
          <w:rFonts w:ascii="Verdana" w:hAnsi="Verdana" w:cs="Calibri"/>
          <w:b/>
          <w:caps/>
        </w:rPr>
        <w:t>ADMINISTRATI</w:t>
      </w:r>
      <w:r w:rsidR="0025409F">
        <w:rPr>
          <w:rFonts w:ascii="Verdana" w:hAnsi="Verdana" w:cs="Calibri"/>
          <w:b/>
          <w:caps/>
        </w:rPr>
        <w:t>f,</w:t>
      </w:r>
      <w:r w:rsidRPr="0025409F">
        <w:rPr>
          <w:rFonts w:ascii="Verdana" w:hAnsi="Verdana" w:cs="Calibri"/>
          <w:b/>
          <w:caps/>
        </w:rPr>
        <w:t xml:space="preserve"> </w:t>
      </w:r>
      <w:r w:rsidR="00E802BB" w:rsidRPr="0025409F">
        <w:rPr>
          <w:rFonts w:ascii="Verdana" w:hAnsi="Verdana" w:cs="Calibri"/>
          <w:b/>
          <w:caps/>
        </w:rPr>
        <w:t xml:space="preserve">budgétaire </w:t>
      </w:r>
      <w:r w:rsidRPr="0025409F">
        <w:rPr>
          <w:rFonts w:ascii="Verdana" w:hAnsi="Verdana" w:cs="Calibri"/>
          <w:b/>
          <w:caps/>
        </w:rPr>
        <w:t>ET COMPTABLE</w:t>
      </w:r>
    </w:p>
    <w:p w:rsidR="0025409F" w:rsidRPr="0025409F" w:rsidRDefault="0025409F" w:rsidP="000D453D">
      <w:pPr>
        <w:tabs>
          <w:tab w:val="center" w:pos="5216"/>
        </w:tabs>
        <w:rPr>
          <w:rFonts w:ascii="Verdana" w:hAnsi="Verdana" w:cs="Calibri"/>
          <w:b/>
          <w:caps/>
          <w:sz w:val="16"/>
          <w:szCs w:val="18"/>
        </w:rPr>
      </w:pPr>
    </w:p>
    <w:p w:rsidR="000D453D" w:rsidRPr="0025409F" w:rsidRDefault="00B96468" w:rsidP="000D453D">
      <w:pPr>
        <w:pStyle w:val="Titre5"/>
        <w:tabs>
          <w:tab w:val="left" w:pos="192"/>
          <w:tab w:val="center" w:pos="5102"/>
        </w:tabs>
        <w:jc w:val="left"/>
        <w:rPr>
          <w:rFonts w:ascii="Verdana" w:hAnsi="Verdana" w:cs="Calibri"/>
          <w:sz w:val="16"/>
          <w:szCs w:val="18"/>
        </w:rPr>
      </w:pPr>
      <w:r w:rsidRPr="0025409F">
        <w:rPr>
          <w:rFonts w:ascii="Verdana" w:hAnsi="Verdana" w:cs="Calibri"/>
          <w:sz w:val="16"/>
          <w:szCs w:val="18"/>
        </w:rPr>
        <w:tab/>
      </w:r>
      <w:r w:rsidRPr="0025409F">
        <w:rPr>
          <w:rFonts w:ascii="Verdana" w:hAnsi="Verdana" w:cs="Calibri"/>
          <w:sz w:val="16"/>
          <w:szCs w:val="18"/>
        </w:rPr>
        <w:tab/>
      </w:r>
      <w:r w:rsidR="00CF59A1" w:rsidRPr="0025409F">
        <w:rPr>
          <w:rFonts w:ascii="Verdana" w:hAnsi="Verdana" w:cs="Calibri"/>
          <w:sz w:val="16"/>
          <w:szCs w:val="18"/>
        </w:rPr>
        <w:t xml:space="preserve">Pôle </w:t>
      </w:r>
      <w:r w:rsidR="00123CDF" w:rsidRPr="0025409F">
        <w:rPr>
          <w:rFonts w:ascii="Verdana" w:hAnsi="Verdana" w:cs="Calibri"/>
          <w:sz w:val="16"/>
          <w:szCs w:val="18"/>
        </w:rPr>
        <w:t>proximité et cohésion sociale</w:t>
      </w:r>
      <w:r w:rsidR="00CF59A1" w:rsidRPr="0025409F">
        <w:rPr>
          <w:rFonts w:ascii="Verdana" w:hAnsi="Verdana" w:cs="Calibri"/>
          <w:sz w:val="16"/>
          <w:szCs w:val="18"/>
        </w:rPr>
        <w:t xml:space="preserve"> </w:t>
      </w:r>
      <w:r w:rsidR="000D453D" w:rsidRPr="0025409F">
        <w:rPr>
          <w:rFonts w:ascii="Verdana" w:hAnsi="Verdana" w:cs="Calibri"/>
          <w:sz w:val="16"/>
          <w:szCs w:val="18"/>
        </w:rPr>
        <w:t>- PPCS</w:t>
      </w:r>
      <w:r w:rsidR="00CF59A1" w:rsidRPr="0025409F">
        <w:rPr>
          <w:rFonts w:ascii="Verdana" w:hAnsi="Verdana" w:cs="Calibri"/>
          <w:sz w:val="16"/>
          <w:szCs w:val="18"/>
        </w:rPr>
        <w:t>/Direction</w:t>
      </w:r>
      <w:r w:rsidR="000D453D" w:rsidRPr="0025409F">
        <w:rPr>
          <w:rFonts w:ascii="Verdana" w:hAnsi="Verdana" w:cs="Calibri"/>
          <w:sz w:val="16"/>
          <w:szCs w:val="18"/>
        </w:rPr>
        <w:t xml:space="preserve"> de la</w:t>
      </w:r>
      <w:r w:rsidR="00CF59A1" w:rsidRPr="0025409F">
        <w:rPr>
          <w:rFonts w:ascii="Verdana" w:hAnsi="Verdana" w:cs="Calibri"/>
          <w:sz w:val="16"/>
          <w:szCs w:val="18"/>
        </w:rPr>
        <w:t xml:space="preserve"> </w:t>
      </w:r>
      <w:r w:rsidR="00123CDF" w:rsidRPr="0025409F">
        <w:rPr>
          <w:rFonts w:ascii="Verdana" w:hAnsi="Verdana" w:cs="Calibri"/>
          <w:sz w:val="16"/>
          <w:szCs w:val="18"/>
        </w:rPr>
        <w:t xml:space="preserve">citoyenneté et </w:t>
      </w:r>
      <w:r w:rsidR="000D453D" w:rsidRPr="0025409F">
        <w:rPr>
          <w:rFonts w:ascii="Verdana" w:hAnsi="Verdana" w:cs="Calibri"/>
          <w:sz w:val="16"/>
          <w:szCs w:val="18"/>
        </w:rPr>
        <w:t xml:space="preserve">de la </w:t>
      </w:r>
      <w:r w:rsidR="00123CDF" w:rsidRPr="0025409F">
        <w:rPr>
          <w:rFonts w:ascii="Verdana" w:hAnsi="Verdana" w:cs="Calibri"/>
          <w:sz w:val="16"/>
          <w:szCs w:val="18"/>
        </w:rPr>
        <w:t>relation usagers</w:t>
      </w:r>
      <w:r w:rsidR="000D453D" w:rsidRPr="0025409F">
        <w:rPr>
          <w:rFonts w:ascii="Verdana" w:hAnsi="Verdana" w:cs="Calibri"/>
          <w:sz w:val="16"/>
          <w:szCs w:val="18"/>
        </w:rPr>
        <w:t xml:space="preserve"> - DCRU</w:t>
      </w:r>
      <w:r w:rsidR="00CF59A1" w:rsidRPr="0025409F">
        <w:rPr>
          <w:rFonts w:ascii="Verdana" w:hAnsi="Verdana" w:cs="Calibri"/>
          <w:sz w:val="16"/>
          <w:szCs w:val="18"/>
        </w:rPr>
        <w:t>/</w:t>
      </w:r>
    </w:p>
    <w:p w:rsidR="00CF59A1" w:rsidRPr="0025409F" w:rsidRDefault="00CF59A1" w:rsidP="000D453D">
      <w:pPr>
        <w:pStyle w:val="Titre5"/>
        <w:tabs>
          <w:tab w:val="left" w:pos="192"/>
          <w:tab w:val="center" w:pos="5102"/>
        </w:tabs>
        <w:rPr>
          <w:rFonts w:ascii="Verdana" w:hAnsi="Verdana" w:cs="Calibri"/>
          <w:sz w:val="16"/>
          <w:szCs w:val="18"/>
        </w:rPr>
      </w:pPr>
      <w:r w:rsidRPr="0025409F">
        <w:rPr>
          <w:rFonts w:ascii="Verdana" w:hAnsi="Verdana" w:cs="Calibri"/>
          <w:sz w:val="16"/>
          <w:szCs w:val="18"/>
        </w:rPr>
        <w:t xml:space="preserve">Service </w:t>
      </w:r>
      <w:r w:rsidR="00123CDF" w:rsidRPr="0025409F">
        <w:rPr>
          <w:rFonts w:ascii="Verdana" w:hAnsi="Verdana" w:cs="Calibri"/>
          <w:sz w:val="16"/>
          <w:szCs w:val="18"/>
        </w:rPr>
        <w:t>funéraire</w:t>
      </w:r>
    </w:p>
    <w:p w:rsidR="00CF59A1" w:rsidRPr="0025409F" w:rsidRDefault="000D453D">
      <w:pPr>
        <w:pStyle w:val="Titre6"/>
        <w:rPr>
          <w:rFonts w:ascii="Verdana" w:hAnsi="Verdana" w:cs="Calibri"/>
          <w:sz w:val="16"/>
          <w:szCs w:val="18"/>
        </w:rPr>
      </w:pPr>
      <w:r w:rsidRPr="0025409F">
        <w:rPr>
          <w:rFonts w:ascii="Verdana" w:hAnsi="Verdana" w:cs="Calibri"/>
          <w:sz w:val="16"/>
          <w:szCs w:val="18"/>
          <w:u w:val="single"/>
        </w:rPr>
        <w:t>Lieu d’affectation</w:t>
      </w:r>
      <w:r w:rsidRPr="0025409F">
        <w:rPr>
          <w:rFonts w:ascii="Verdana" w:hAnsi="Verdana" w:cs="Calibri"/>
          <w:sz w:val="16"/>
          <w:szCs w:val="18"/>
        </w:rPr>
        <w:t xml:space="preserve"> : </w:t>
      </w:r>
      <w:r w:rsidR="00CF59A1" w:rsidRPr="0025409F">
        <w:rPr>
          <w:rFonts w:ascii="Verdana" w:hAnsi="Verdana" w:cs="Calibri"/>
          <w:sz w:val="16"/>
          <w:szCs w:val="18"/>
        </w:rPr>
        <w:t xml:space="preserve">Hôtel de Ville </w:t>
      </w:r>
    </w:p>
    <w:p w:rsidR="00CF59A1" w:rsidRPr="0025409F" w:rsidRDefault="00CF59A1">
      <w:pPr>
        <w:rPr>
          <w:rFonts w:ascii="Verdana" w:hAnsi="Verdana" w:cs="Calibri"/>
          <w:sz w:val="16"/>
          <w:szCs w:val="18"/>
        </w:rPr>
      </w:pP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834"/>
        <w:gridCol w:w="3004"/>
        <w:gridCol w:w="2403"/>
      </w:tblGrid>
      <w:tr w:rsidR="00F427C2" w:rsidRPr="0025409F" w:rsidTr="00F427C2">
        <w:trPr>
          <w:trHeight w:val="729"/>
          <w:jc w:val="center"/>
        </w:trPr>
        <w:tc>
          <w:tcPr>
            <w:tcW w:w="5747" w:type="dxa"/>
            <w:gridSpan w:val="2"/>
            <w:tcBorders>
              <w:right w:val="dashed" w:sz="8" w:space="0" w:color="auto"/>
            </w:tcBorders>
          </w:tcPr>
          <w:p w:rsidR="00F427C2" w:rsidRPr="0025409F" w:rsidRDefault="00F427C2">
            <w:pPr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  <w:t>Cadre statutaire </w:t>
            </w:r>
          </w:p>
          <w:p w:rsidR="00F427C2" w:rsidRPr="0025409F" w:rsidRDefault="00F427C2" w:rsidP="00F427C2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Catégorie :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B</w:t>
            </w:r>
          </w:p>
          <w:p w:rsidR="00F427C2" w:rsidRPr="0025409F" w:rsidRDefault="00F427C2" w:rsidP="00F427C2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Filière :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Administrative</w:t>
            </w:r>
          </w:p>
          <w:p w:rsidR="00F427C2" w:rsidRPr="0025409F" w:rsidRDefault="00F427C2" w:rsidP="00F427C2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Cadre d’emplois :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Rédacteurs territoriaux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  <w:t>Cotation RIFSEEP</w:t>
            </w:r>
          </w:p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</w:pPr>
          </w:p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B2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  <w:t>Temps de travail</w:t>
            </w:r>
          </w:p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b/>
                <w:bCs/>
                <w:sz w:val="16"/>
                <w:szCs w:val="18"/>
                <w:u w:val="single"/>
              </w:rPr>
            </w:pPr>
          </w:p>
          <w:p w:rsidR="00F427C2" w:rsidRPr="0025409F" w:rsidRDefault="00F427C2" w:rsidP="00F427C2">
            <w:pPr>
              <w:jc w:val="center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Temps complet</w:t>
            </w:r>
          </w:p>
          <w:p w:rsidR="009F3B99" w:rsidRPr="0025409F" w:rsidRDefault="009F3B99" w:rsidP="00E802BB">
            <w:pPr>
              <w:jc w:val="center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Régime de 36h30</w:t>
            </w:r>
          </w:p>
        </w:tc>
      </w:tr>
      <w:tr w:rsidR="00CF59A1" w:rsidRPr="0025409F" w:rsidTr="0025409F">
        <w:trPr>
          <w:trHeight w:val="503"/>
          <w:jc w:val="center"/>
        </w:trPr>
        <w:tc>
          <w:tcPr>
            <w:tcW w:w="2913" w:type="dxa"/>
          </w:tcPr>
          <w:p w:rsidR="00CF59A1" w:rsidRPr="0025409F" w:rsidRDefault="00B96468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S</w:t>
            </w:r>
            <w:r w:rsidR="00CF59A1" w:rsidRPr="0025409F">
              <w:rPr>
                <w:rFonts w:ascii="Verdana" w:hAnsi="Verdana" w:cs="Calibri"/>
                <w:sz w:val="16"/>
                <w:szCs w:val="18"/>
              </w:rPr>
              <w:t>ituation fonctionnelle</w:t>
            </w:r>
          </w:p>
          <w:p w:rsidR="00CF59A1" w:rsidRPr="0025409F" w:rsidRDefault="00CF59A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Référent hiérarchique</w:t>
            </w:r>
          </w:p>
          <w:p w:rsidR="00CF59A1" w:rsidRPr="0025409F" w:rsidRDefault="00CF59A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Positionnement</w:t>
            </w:r>
          </w:p>
        </w:tc>
        <w:tc>
          <w:tcPr>
            <w:tcW w:w="8241" w:type="dxa"/>
            <w:gridSpan w:val="3"/>
          </w:tcPr>
          <w:p w:rsidR="00CF59A1" w:rsidRPr="0025409F" w:rsidRDefault="00CF59A1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</w:p>
          <w:p w:rsidR="00CF59A1" w:rsidRPr="0025409F" w:rsidRDefault="00123CDF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Responsable d</w:t>
            </w:r>
            <w:r w:rsidR="00640C6A" w:rsidRPr="0025409F">
              <w:rPr>
                <w:rFonts w:ascii="Verdana" w:hAnsi="Verdana" w:cs="Calibri"/>
                <w:sz w:val="16"/>
                <w:szCs w:val="18"/>
              </w:rPr>
              <w:t>u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service funéraire</w:t>
            </w:r>
          </w:p>
          <w:p w:rsidR="00CF59A1" w:rsidRPr="0025409F" w:rsidRDefault="00123CDF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Vous encadrez un gestionnaire administratif</w:t>
            </w:r>
            <w:r w:rsidR="00E802BB" w:rsidRPr="0025409F">
              <w:rPr>
                <w:rFonts w:ascii="Verdana" w:hAnsi="Verdana" w:cs="Calibri"/>
                <w:sz w:val="16"/>
                <w:szCs w:val="18"/>
              </w:rPr>
              <w:t>, budgétaire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et comptable</w:t>
            </w:r>
            <w:r w:rsidR="0025409F">
              <w:rPr>
                <w:rFonts w:ascii="Verdana" w:hAnsi="Verdana" w:cs="Calibri"/>
                <w:sz w:val="16"/>
                <w:szCs w:val="18"/>
              </w:rPr>
              <w:t>.</w:t>
            </w:r>
          </w:p>
        </w:tc>
      </w:tr>
      <w:tr w:rsidR="00CF59A1" w:rsidRPr="0025409F" w:rsidTr="0025409F">
        <w:trPr>
          <w:trHeight w:val="657"/>
          <w:jc w:val="center"/>
        </w:trPr>
        <w:tc>
          <w:tcPr>
            <w:tcW w:w="2913" w:type="dxa"/>
          </w:tcPr>
          <w:p w:rsidR="00CF59A1" w:rsidRPr="0025409F" w:rsidRDefault="00CF59A1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Relations fonctionnelles</w:t>
            </w:r>
          </w:p>
          <w:p w:rsidR="00CF59A1" w:rsidRPr="0025409F" w:rsidRDefault="00CF59A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Internes</w:t>
            </w:r>
          </w:p>
          <w:p w:rsidR="00CF59A1" w:rsidRPr="0025409F" w:rsidRDefault="00CF59A1">
            <w:pPr>
              <w:ind w:left="360"/>
              <w:rPr>
                <w:rFonts w:ascii="Verdana" w:hAnsi="Verdana" w:cs="Calibri"/>
                <w:b/>
                <w:bCs/>
                <w:sz w:val="16"/>
                <w:szCs w:val="18"/>
              </w:rPr>
            </w:pPr>
          </w:p>
          <w:p w:rsidR="00CF59A1" w:rsidRPr="0025409F" w:rsidRDefault="00CF59A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Externes</w:t>
            </w:r>
          </w:p>
        </w:tc>
        <w:tc>
          <w:tcPr>
            <w:tcW w:w="8241" w:type="dxa"/>
            <w:gridSpan w:val="3"/>
          </w:tcPr>
          <w:p w:rsidR="00CF59A1" w:rsidRPr="0025409F" w:rsidRDefault="00CF59A1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</w:p>
          <w:p w:rsidR="00CF59A1" w:rsidRPr="0025409F" w:rsidRDefault="00CF59A1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 xml:space="preserve">Relations permanentes avec </w:t>
            </w:r>
            <w:r w:rsidR="00E52299" w:rsidRPr="0025409F">
              <w:rPr>
                <w:rFonts w:ascii="Verdana" w:hAnsi="Verdana" w:cs="Calibri"/>
                <w:sz w:val="16"/>
                <w:szCs w:val="18"/>
              </w:rPr>
              <w:t xml:space="preserve">les agents de la régie municipale des pompes funèbres et </w:t>
            </w:r>
            <w:r w:rsidR="00AF016A" w:rsidRPr="0025409F">
              <w:rPr>
                <w:rFonts w:ascii="Verdana" w:hAnsi="Verdana" w:cs="Calibri"/>
                <w:sz w:val="16"/>
                <w:szCs w:val="18"/>
              </w:rPr>
              <w:t>du crématorium de</w:t>
            </w:r>
            <w:r w:rsidR="00E52299" w:rsidRPr="0025409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proofErr w:type="spellStart"/>
            <w:r w:rsidR="00E52299" w:rsidRPr="0025409F">
              <w:rPr>
                <w:rFonts w:ascii="Verdana" w:hAnsi="Verdana" w:cs="Calibri"/>
                <w:sz w:val="16"/>
                <w:szCs w:val="18"/>
              </w:rPr>
              <w:t>Kerlétu</w:t>
            </w:r>
            <w:proofErr w:type="spellEnd"/>
            <w:r w:rsidR="00E52299" w:rsidRPr="0025409F">
              <w:rPr>
                <w:rFonts w:ascii="Verdana" w:hAnsi="Verdana" w:cs="Calibri"/>
                <w:sz w:val="16"/>
                <w:szCs w:val="18"/>
              </w:rPr>
              <w:t xml:space="preserve">, et en particulier avec les responsables de secteurs. </w:t>
            </w:r>
          </w:p>
          <w:p w:rsidR="00CF59A1" w:rsidRPr="0025409F" w:rsidRDefault="00CF59A1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Relations avec la Trésorerie</w:t>
            </w:r>
            <w:r w:rsidR="0025409F">
              <w:rPr>
                <w:rFonts w:ascii="Verdana" w:hAnsi="Verdana" w:cs="Calibri"/>
                <w:sz w:val="16"/>
                <w:szCs w:val="18"/>
              </w:rPr>
              <w:t xml:space="preserve"> - 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Echanges réguliers avec les différents partenaires extérieurs : </w:t>
            </w:r>
            <w:r w:rsidR="00E52299" w:rsidRPr="0025409F">
              <w:rPr>
                <w:rFonts w:ascii="Verdana" w:hAnsi="Verdana" w:cs="Calibri"/>
                <w:sz w:val="16"/>
                <w:szCs w:val="18"/>
              </w:rPr>
              <w:t>les clients, les différents prestataires de service (opérateurs funéraires et marbriers notamment), mairies, hôpitaux, représentants du culte, Police nationale, mutuelles, notaires et divers organismes</w:t>
            </w:r>
            <w:r w:rsidR="003E3FFA" w:rsidRPr="0025409F">
              <w:rPr>
                <w:rFonts w:ascii="Verdana" w:hAnsi="Verdana" w:cs="Calibri"/>
                <w:sz w:val="16"/>
                <w:szCs w:val="18"/>
              </w:rPr>
              <w:t>.</w:t>
            </w:r>
          </w:p>
        </w:tc>
      </w:tr>
      <w:tr w:rsidR="00CF59A1" w:rsidRPr="0025409F" w:rsidTr="0025409F">
        <w:trPr>
          <w:trHeight w:val="367"/>
          <w:jc w:val="center"/>
        </w:trPr>
        <w:tc>
          <w:tcPr>
            <w:tcW w:w="2913" w:type="dxa"/>
          </w:tcPr>
          <w:p w:rsidR="00CF59A1" w:rsidRPr="0025409F" w:rsidRDefault="00CF59A1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Mission principale</w:t>
            </w:r>
          </w:p>
        </w:tc>
        <w:tc>
          <w:tcPr>
            <w:tcW w:w="8241" w:type="dxa"/>
            <w:gridSpan w:val="3"/>
          </w:tcPr>
          <w:p w:rsidR="0025409F" w:rsidRDefault="0025409F" w:rsidP="0025409F">
            <w:pPr>
              <w:jc w:val="both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Les services funéraires de la Ville de Lorient se composent de 3 secteurs : les pompes funèbres, le centre funéraire/crématorium de </w:t>
            </w:r>
            <w:proofErr w:type="spellStart"/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Kerlétu</w:t>
            </w:r>
            <w:proofErr w:type="spellEnd"/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 et les cimetières (4 sites). </w:t>
            </w:r>
          </w:p>
          <w:p w:rsidR="00DF40AE" w:rsidRPr="0025409F" w:rsidRDefault="00DF40AE" w:rsidP="0025409F">
            <w:pPr>
              <w:jc w:val="both"/>
              <w:rPr>
                <w:rFonts w:ascii="Verdana" w:hAnsi="Verdana" w:cs="Calibri"/>
                <w:b/>
                <w:bCs/>
                <w:sz w:val="16"/>
                <w:szCs w:val="18"/>
              </w:rPr>
            </w:pPr>
          </w:p>
          <w:p w:rsidR="00CF59A1" w:rsidRPr="0025409F" w:rsidRDefault="0025409F">
            <w:pPr>
              <w:jc w:val="both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</w:rPr>
              <w:t>Dans ce cadre, v</w:t>
            </w:r>
            <w:r w:rsidR="00CF59A1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ous </w:t>
            </w:r>
            <w:r w:rsidR="003E3FF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assurez la coordination administrative, budgétaire et comptable de la régie des pompes funèbres et </w:t>
            </w:r>
            <w:r w:rsidR="00AF016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de </w:t>
            </w:r>
            <w:r w:rsidR="000E6E4F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celle</w:t>
            </w:r>
            <w:r w:rsidR="00AF016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 du crématorium</w:t>
            </w:r>
            <w:r w:rsidR="003E3FF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, </w:t>
            </w:r>
            <w:r w:rsidR="00B96468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deux </w:t>
            </w:r>
            <w:r w:rsidR="003E3FF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services publics industriels et commerciaux (budgets annexes)</w:t>
            </w:r>
            <w:r w:rsidR="00B96468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. </w:t>
            </w:r>
            <w:r w:rsidR="003E3FFA"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CF59A1" w:rsidRPr="0025409F" w:rsidTr="0025409F">
        <w:trPr>
          <w:trHeight w:val="4633"/>
          <w:jc w:val="center"/>
        </w:trPr>
        <w:tc>
          <w:tcPr>
            <w:tcW w:w="2913" w:type="dxa"/>
          </w:tcPr>
          <w:p w:rsidR="00CF59A1" w:rsidRPr="0025409F" w:rsidRDefault="00CF59A1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Activités du poste</w:t>
            </w:r>
          </w:p>
        </w:tc>
        <w:tc>
          <w:tcPr>
            <w:tcW w:w="8241" w:type="dxa"/>
            <w:gridSpan w:val="3"/>
          </w:tcPr>
          <w:p w:rsidR="00CF59A1" w:rsidRPr="0025409F" w:rsidRDefault="00CF59A1">
            <w:pPr>
              <w:pStyle w:val="Corpsdetexte2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Préparation et suivi budgétaires</w:t>
            </w:r>
          </w:p>
          <w:p w:rsidR="00FF11DD" w:rsidRPr="0025409F" w:rsidRDefault="00FF11DD" w:rsidP="00FF11DD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Participer à la préparation des budgets, suivre et contrôler la mise en œuvre des procédures budgétaires et comptables (contrôle des </w:t>
            </w:r>
            <w:r w:rsidR="00AF016A" w:rsidRPr="0025409F">
              <w:rPr>
                <w:rFonts w:ascii="Verdana" w:hAnsi="Verdana" w:cs="Calibri"/>
                <w:bCs/>
                <w:sz w:val="16"/>
                <w:szCs w:val="18"/>
              </w:rPr>
              <w:t>factures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, suivi des impayés, vérification des pièces justificatives, suivi et mandatement des factures et gestion des recettes)</w:t>
            </w:r>
          </w:p>
          <w:p w:rsidR="00CF59A1" w:rsidRPr="0025409F" w:rsidRDefault="00CF59A1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Établir et mettre à jour </w:t>
            </w:r>
            <w:r w:rsidR="00F20066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les tarifs </w:t>
            </w:r>
            <w:r w:rsidR="00AF016A" w:rsidRPr="0025409F">
              <w:rPr>
                <w:rFonts w:ascii="Verdana" w:hAnsi="Verdana" w:cs="Calibri"/>
                <w:bCs/>
                <w:sz w:val="16"/>
                <w:szCs w:val="18"/>
              </w:rPr>
              <w:t>en lien avec la responsable de service</w:t>
            </w:r>
          </w:p>
          <w:p w:rsidR="00841299" w:rsidRPr="0025409F" w:rsidRDefault="00CF59A1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Suivre le programme </w:t>
            </w:r>
            <w:r w:rsidR="00FF11DD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pluriannuel 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d’investissement </w:t>
            </w:r>
          </w:p>
          <w:p w:rsidR="00CF59A1" w:rsidRPr="0025409F" w:rsidRDefault="00CF59A1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Rédiger </w:t>
            </w:r>
            <w:r w:rsidR="00F20066" w:rsidRPr="0025409F">
              <w:rPr>
                <w:rFonts w:ascii="Verdana" w:hAnsi="Verdana" w:cs="Calibri"/>
                <w:bCs/>
                <w:sz w:val="16"/>
                <w:szCs w:val="18"/>
              </w:rPr>
              <w:t>d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es notes et rapports relatifs au </w:t>
            </w:r>
            <w:r w:rsidR="004800AD" w:rsidRPr="0025409F">
              <w:rPr>
                <w:rFonts w:ascii="Verdana" w:hAnsi="Verdana" w:cs="Calibri"/>
                <w:bCs/>
                <w:sz w:val="16"/>
                <w:szCs w:val="18"/>
              </w:rPr>
              <w:t>b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udget</w:t>
            </w:r>
          </w:p>
          <w:p w:rsidR="00841299" w:rsidRPr="0025409F" w:rsidRDefault="00841299" w:rsidP="003E3FFA">
            <w:pPr>
              <w:pStyle w:val="Corpsdetexte2"/>
              <w:spacing w:after="120"/>
              <w:rPr>
                <w:rFonts w:ascii="Verdana" w:hAnsi="Verdana" w:cs="Calibri"/>
                <w:b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Conseiller et aider à la décision en matière de gestion </w:t>
            </w:r>
          </w:p>
          <w:p w:rsidR="00325667" w:rsidRPr="0025409F" w:rsidRDefault="00325667" w:rsidP="00325667">
            <w:pPr>
              <w:jc w:val="both"/>
              <w:rPr>
                <w:rFonts w:ascii="Verdana" w:hAnsi="Verdana" w:cs="Calibri"/>
                <w:b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sz w:val="16"/>
                <w:szCs w:val="18"/>
              </w:rPr>
              <w:t>Pilotage et prospective</w:t>
            </w:r>
          </w:p>
          <w:p w:rsidR="002F3647" w:rsidRPr="0025409F" w:rsidRDefault="00325667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Assure</w:t>
            </w:r>
            <w:r w:rsidR="00640C6A" w:rsidRPr="0025409F">
              <w:rPr>
                <w:rFonts w:ascii="Verdana" w:hAnsi="Verdana" w:cs="Calibri"/>
                <w:bCs/>
                <w:sz w:val="16"/>
                <w:szCs w:val="18"/>
              </w:rPr>
              <w:t>r</w:t>
            </w:r>
            <w:r w:rsidR="00841299" w:rsidRPr="0025409F">
              <w:rPr>
                <w:rFonts w:ascii="Verdana" w:hAnsi="Verdana" w:cs="Calibri"/>
                <w:bCs/>
                <w:sz w:val="16"/>
                <w:szCs w:val="18"/>
              </w:rPr>
              <w:t>,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 </w:t>
            </w:r>
            <w:r w:rsidR="00841299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en lien avec la direction des finances de la ville, 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la mise à jour des prospectives </w:t>
            </w:r>
            <w:r w:rsidR="002F3647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financières 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des </w:t>
            </w:r>
            <w:r w:rsidR="00841299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deux 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budgets</w:t>
            </w:r>
            <w:r w:rsidR="00E802BB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 annexes</w:t>
            </w:r>
          </w:p>
          <w:p w:rsidR="00325667" w:rsidRPr="0025409F" w:rsidRDefault="00325667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Participer au dialogue de gestion constant avec les </w:t>
            </w:r>
            <w:r w:rsidR="00E52299"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deux secteurs 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 </w:t>
            </w:r>
          </w:p>
          <w:p w:rsidR="00325667" w:rsidRPr="0025409F" w:rsidRDefault="003E3FFA" w:rsidP="003E3FFA">
            <w:pPr>
              <w:spacing w:after="120"/>
              <w:jc w:val="both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Élaborer et actualiser des tableaux de bord de suivi</w:t>
            </w:r>
            <w:r w:rsidR="00FF11DD" w:rsidRPr="0025409F">
              <w:rPr>
                <w:rFonts w:ascii="Verdana" w:hAnsi="Verdana" w:cs="Calibri"/>
                <w:sz w:val="16"/>
                <w:szCs w:val="18"/>
              </w:rPr>
              <w:t xml:space="preserve"> budgétaire et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financier</w:t>
            </w:r>
          </w:p>
          <w:p w:rsidR="003E3FFA" w:rsidRPr="0025409F" w:rsidRDefault="003E3FFA" w:rsidP="003E3FFA">
            <w:pPr>
              <w:jc w:val="both"/>
              <w:rPr>
                <w:rFonts w:ascii="Verdana" w:hAnsi="Verdana" w:cs="Calibri"/>
                <w:b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sz w:val="16"/>
                <w:szCs w:val="18"/>
              </w:rPr>
              <w:t>Préparation et suivi des marchés et des conventions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Préparer et suivre les marchés de travaux, de prestations et de fournitures pour les deux secteurs 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Vérifier le contenu administratif des cahiers des charges 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Apporter un appui sur les aspects techniques, financiers et les règles juridiques dans l'élaboration des dossiers de consultation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Mettre en œuvre la consultation en lien avec le service de la commande publique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Participer avec la responsable d</w:t>
            </w:r>
            <w:r w:rsidR="00640C6A" w:rsidRPr="0025409F">
              <w:rPr>
                <w:rFonts w:ascii="Verdana" w:hAnsi="Verdana" w:cs="Calibri"/>
                <w:bCs/>
                <w:sz w:val="16"/>
                <w:szCs w:val="18"/>
              </w:rPr>
              <w:t>u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 service funéraire et les deux responsables de la régie des pompes funèbres et du </w:t>
            </w:r>
            <w:r w:rsidR="00AF016A" w:rsidRPr="0025409F">
              <w:rPr>
                <w:rFonts w:ascii="Verdana" w:hAnsi="Verdana" w:cs="Calibri"/>
                <w:bCs/>
                <w:sz w:val="16"/>
                <w:szCs w:val="18"/>
              </w:rPr>
              <w:t>crématorium</w:t>
            </w: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 à l’analyse des offres et négocier le cas échéant avec les prestataires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Participer à la sécurité juridique des procédures : appliquer et suivre les procédures réglementaires </w:t>
            </w:r>
          </w:p>
          <w:p w:rsidR="003E3FFA" w:rsidRPr="0025409F" w:rsidRDefault="003E3FFA" w:rsidP="003E3FFA">
            <w:pPr>
              <w:pStyle w:val="Corpsdetexte2"/>
              <w:spacing w:after="120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Préparer et suivre les conventions en lien avec la direction du secrétariat général de la collectivité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bCs/>
                <w:sz w:val="16"/>
                <w:szCs w:val="18"/>
              </w:rPr>
              <w:t>Gestion administrative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Assurer le traitement et le suivi des courriers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>Rédiger les comptes-rendus et procès-verbaux de réunions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Participer à la rédaction des rapports d’activité </w:t>
            </w:r>
          </w:p>
          <w:p w:rsidR="003E3FFA" w:rsidRPr="0025409F" w:rsidRDefault="003E3FFA" w:rsidP="003E3FFA">
            <w:pPr>
              <w:pStyle w:val="Corpsdetexte2"/>
              <w:rPr>
                <w:rFonts w:ascii="Verdana" w:hAnsi="Verdana" w:cs="Calibri"/>
                <w:bCs/>
                <w:sz w:val="16"/>
                <w:szCs w:val="18"/>
              </w:rPr>
            </w:pPr>
            <w:r w:rsidRPr="0025409F">
              <w:rPr>
                <w:rFonts w:ascii="Verdana" w:hAnsi="Verdana" w:cs="Calibri"/>
                <w:bCs/>
                <w:sz w:val="16"/>
                <w:szCs w:val="18"/>
              </w:rPr>
              <w:t xml:space="preserve">Constituer le dossier de demande de renouvellement de l’habilitation préfectorale </w:t>
            </w:r>
            <w:r w:rsidR="00AF016A" w:rsidRPr="0025409F">
              <w:rPr>
                <w:rFonts w:ascii="Verdana" w:hAnsi="Verdana" w:cs="Calibri"/>
                <w:bCs/>
                <w:sz w:val="16"/>
                <w:szCs w:val="18"/>
              </w:rPr>
              <w:t>en lien avec la responsable du service</w:t>
            </w:r>
          </w:p>
          <w:p w:rsidR="00DF7C44" w:rsidRPr="0025409F" w:rsidRDefault="00DF7C44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</w:p>
          <w:p w:rsidR="00CF59A1" w:rsidRPr="0025409F" w:rsidRDefault="00CF59A1">
            <w:pPr>
              <w:jc w:val="both"/>
              <w:rPr>
                <w:rFonts w:ascii="Verdana" w:hAnsi="Verdana" w:cs="Calibri"/>
                <w:b/>
                <w:i/>
                <w:sz w:val="16"/>
                <w:szCs w:val="18"/>
              </w:rPr>
            </w:pPr>
            <w:r w:rsidRPr="0025409F">
              <w:rPr>
                <w:rFonts w:ascii="Verdana" w:hAnsi="Verdana" w:cs="Calibri"/>
                <w:b/>
                <w:i/>
                <w:sz w:val="16"/>
                <w:szCs w:val="18"/>
              </w:rPr>
              <w:t>En fonction des nécessités, participer à toute activité administrative et financière du service</w:t>
            </w:r>
          </w:p>
        </w:tc>
      </w:tr>
      <w:tr w:rsidR="00CF59A1" w:rsidRPr="0025409F" w:rsidTr="0025409F">
        <w:trPr>
          <w:trHeight w:val="1136"/>
          <w:jc w:val="center"/>
        </w:trPr>
        <w:tc>
          <w:tcPr>
            <w:tcW w:w="2913" w:type="dxa"/>
          </w:tcPr>
          <w:p w:rsidR="00CF59A1" w:rsidRPr="0025409F" w:rsidRDefault="00CF59A1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Compétences et qualités professionnelles requises</w:t>
            </w:r>
          </w:p>
        </w:tc>
        <w:tc>
          <w:tcPr>
            <w:tcW w:w="8241" w:type="dxa"/>
            <w:gridSpan w:val="3"/>
          </w:tcPr>
          <w:p w:rsidR="00CF59A1" w:rsidRPr="0025409F" w:rsidRDefault="00CF59A1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Connaissances et expérience des finances et de la comptabilité publique</w:t>
            </w:r>
          </w:p>
          <w:p w:rsidR="00CF59A1" w:rsidRDefault="00CF59A1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 xml:space="preserve">Bonne connaissance des collectivités territoriales </w:t>
            </w:r>
            <w:r w:rsidR="007E1FBD" w:rsidRPr="0025409F">
              <w:rPr>
                <w:rFonts w:ascii="Verdana" w:hAnsi="Verdana" w:cs="Calibri"/>
                <w:sz w:val="16"/>
                <w:szCs w:val="18"/>
              </w:rPr>
              <w:t>et des procédures administratives et comptables</w:t>
            </w:r>
          </w:p>
          <w:p w:rsidR="0025409F" w:rsidRPr="0025409F" w:rsidRDefault="0025409F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Maîtrise de l’outil informatique (Office – Internet…) et de logiciels métiers</w:t>
            </w:r>
          </w:p>
          <w:p w:rsidR="00CF59A1" w:rsidRPr="0025409F" w:rsidRDefault="00CF59A1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Capacité à encadrer</w:t>
            </w:r>
            <w:r w:rsidR="004800AD" w:rsidRPr="0025409F">
              <w:rPr>
                <w:rFonts w:ascii="Verdana" w:hAnsi="Verdana" w:cs="Calibri"/>
                <w:sz w:val="16"/>
                <w:szCs w:val="18"/>
              </w:rPr>
              <w:t xml:space="preserve"> et à</w:t>
            </w:r>
            <w:r w:rsidR="00F17052" w:rsidRPr="0025409F">
              <w:rPr>
                <w:rFonts w:ascii="Verdana" w:hAnsi="Verdana" w:cs="Calibri"/>
                <w:sz w:val="16"/>
                <w:szCs w:val="18"/>
              </w:rPr>
              <w:t xml:space="preserve"> t</w:t>
            </w:r>
            <w:r w:rsidRPr="0025409F">
              <w:rPr>
                <w:rFonts w:ascii="Verdana" w:hAnsi="Verdana" w:cs="Calibri"/>
                <w:sz w:val="16"/>
                <w:szCs w:val="18"/>
              </w:rPr>
              <w:t>ravailler en équipe et en partenariat</w:t>
            </w:r>
          </w:p>
          <w:p w:rsidR="00CF59A1" w:rsidRPr="0025409F" w:rsidRDefault="00CF59A1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Être force de propositions</w:t>
            </w:r>
            <w:r w:rsidR="00DF7C44" w:rsidRPr="0025409F">
              <w:rPr>
                <w:rFonts w:ascii="Verdana" w:hAnsi="Verdana" w:cs="Calibri"/>
                <w:sz w:val="16"/>
                <w:szCs w:val="18"/>
              </w:rPr>
              <w:t xml:space="preserve"> - Esprit de synthèse et d’analyse, qualités rédactionnelles</w:t>
            </w:r>
          </w:p>
          <w:p w:rsidR="00CF59A1" w:rsidRPr="0025409F" w:rsidRDefault="00CF59A1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Autonomie et prise d’initiative</w:t>
            </w:r>
          </w:p>
          <w:p w:rsidR="0025409F" w:rsidRPr="0025409F" w:rsidRDefault="0025409F" w:rsidP="0025409F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Qualités relationnelles - Rigueur, organisation, discrétion</w:t>
            </w:r>
          </w:p>
          <w:p w:rsidR="00CF59A1" w:rsidRPr="0025409F" w:rsidRDefault="0025409F" w:rsidP="00C70CCD">
            <w:pPr>
              <w:jc w:val="both"/>
              <w:rPr>
                <w:rFonts w:ascii="Verdana" w:hAnsi="Verdana" w:cs="Calibri"/>
                <w:sz w:val="16"/>
                <w:szCs w:val="18"/>
              </w:rPr>
            </w:pPr>
            <w:r>
              <w:rPr>
                <w:rFonts w:ascii="Verdana" w:hAnsi="Verdana" w:cs="Calibri"/>
                <w:sz w:val="16"/>
                <w:szCs w:val="18"/>
              </w:rPr>
              <w:t>Sens du service public</w:t>
            </w:r>
          </w:p>
        </w:tc>
      </w:tr>
      <w:tr w:rsidR="00640C6A" w:rsidRPr="0025409F" w:rsidTr="0025409F">
        <w:trPr>
          <w:trHeight w:val="319"/>
          <w:jc w:val="center"/>
        </w:trPr>
        <w:tc>
          <w:tcPr>
            <w:tcW w:w="2913" w:type="dxa"/>
          </w:tcPr>
          <w:p w:rsidR="00640C6A" w:rsidRPr="0025409F" w:rsidRDefault="00640C6A">
            <w:pPr>
              <w:pStyle w:val="Titre2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</w:rPr>
              <w:t>Observations</w:t>
            </w:r>
          </w:p>
        </w:tc>
        <w:tc>
          <w:tcPr>
            <w:tcW w:w="8241" w:type="dxa"/>
            <w:gridSpan w:val="3"/>
          </w:tcPr>
          <w:p w:rsidR="00640C6A" w:rsidRPr="0025409F" w:rsidRDefault="00640C6A" w:rsidP="0025409F">
            <w:pPr>
              <w:numPr>
                <w:ilvl w:val="0"/>
                <w:numId w:val="8"/>
              </w:numPr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25409F">
              <w:rPr>
                <w:rFonts w:ascii="Verdana" w:hAnsi="Verdana" w:cs="Calibri"/>
                <w:sz w:val="16"/>
                <w:szCs w:val="18"/>
                <w:u w:val="single"/>
              </w:rPr>
              <w:t>Horaires de travail</w:t>
            </w:r>
            <w:r w:rsidRPr="0025409F">
              <w:rPr>
                <w:rFonts w:ascii="Verdana" w:hAnsi="Verdana" w:cs="Calibri"/>
                <w:sz w:val="16"/>
                <w:szCs w:val="18"/>
              </w:rPr>
              <w:t xml:space="preserve"> : En semaine ouverture du service de</w:t>
            </w:r>
            <w:r w:rsidR="00813CCD">
              <w:rPr>
                <w:rFonts w:ascii="Verdana" w:hAnsi="Verdana" w:cs="Calibri"/>
                <w:sz w:val="16"/>
                <w:szCs w:val="18"/>
              </w:rPr>
              <w:t xml:space="preserve"> 9h00 à 17h30</w:t>
            </w:r>
            <w:bookmarkStart w:id="0" w:name="_GoBack"/>
            <w:bookmarkEnd w:id="0"/>
          </w:p>
        </w:tc>
      </w:tr>
    </w:tbl>
    <w:p w:rsidR="00F9110A" w:rsidRPr="0025409F" w:rsidRDefault="00F9110A">
      <w:pPr>
        <w:rPr>
          <w:rFonts w:ascii="Verdana" w:hAnsi="Verdana" w:cs="Calibri"/>
          <w:sz w:val="16"/>
          <w:szCs w:val="18"/>
        </w:rPr>
      </w:pPr>
    </w:p>
    <w:sectPr w:rsidR="00F9110A" w:rsidRPr="0025409F" w:rsidSect="00B96468">
      <w:pgSz w:w="11906" w:h="16838"/>
      <w:pgMar w:top="340" w:right="737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7A" w:rsidRDefault="009C347A" w:rsidP="00B96468">
      <w:r>
        <w:separator/>
      </w:r>
    </w:p>
  </w:endnote>
  <w:endnote w:type="continuationSeparator" w:id="0">
    <w:p w:rsidR="009C347A" w:rsidRDefault="009C347A" w:rsidP="00B9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7A" w:rsidRDefault="009C347A" w:rsidP="00B96468">
      <w:r>
        <w:separator/>
      </w:r>
    </w:p>
  </w:footnote>
  <w:footnote w:type="continuationSeparator" w:id="0">
    <w:p w:rsidR="009C347A" w:rsidRDefault="009C347A" w:rsidP="00B9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5EF"/>
    <w:multiLevelType w:val="hybridMultilevel"/>
    <w:tmpl w:val="5B02C7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49B1"/>
    <w:multiLevelType w:val="hybridMultilevel"/>
    <w:tmpl w:val="B94C45EC"/>
    <w:lvl w:ilvl="0" w:tplc="2258D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76BA"/>
    <w:multiLevelType w:val="hybridMultilevel"/>
    <w:tmpl w:val="91C2651C"/>
    <w:lvl w:ilvl="0" w:tplc="2258D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64D2B"/>
    <w:multiLevelType w:val="hybridMultilevel"/>
    <w:tmpl w:val="6F50D92A"/>
    <w:lvl w:ilvl="0" w:tplc="EAD0DFC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4"/>
    <w:rsid w:val="00032268"/>
    <w:rsid w:val="00070CD7"/>
    <w:rsid w:val="000C7833"/>
    <w:rsid w:val="000D453D"/>
    <w:rsid w:val="000E6E4F"/>
    <w:rsid w:val="00123CDF"/>
    <w:rsid w:val="0025409F"/>
    <w:rsid w:val="00270CA8"/>
    <w:rsid w:val="002B5E57"/>
    <w:rsid w:val="002F3647"/>
    <w:rsid w:val="00325667"/>
    <w:rsid w:val="003842ED"/>
    <w:rsid w:val="003B19D8"/>
    <w:rsid w:val="003E3FFA"/>
    <w:rsid w:val="00402BF7"/>
    <w:rsid w:val="004800AD"/>
    <w:rsid w:val="004A22EB"/>
    <w:rsid w:val="005A526D"/>
    <w:rsid w:val="00610169"/>
    <w:rsid w:val="00640C6A"/>
    <w:rsid w:val="00677F9A"/>
    <w:rsid w:val="0070456E"/>
    <w:rsid w:val="007B487C"/>
    <w:rsid w:val="007E1FBD"/>
    <w:rsid w:val="00813CCD"/>
    <w:rsid w:val="00841299"/>
    <w:rsid w:val="009C347A"/>
    <w:rsid w:val="009F3B99"/>
    <w:rsid w:val="00AF016A"/>
    <w:rsid w:val="00B70101"/>
    <w:rsid w:val="00B96468"/>
    <w:rsid w:val="00BB4370"/>
    <w:rsid w:val="00BB64A3"/>
    <w:rsid w:val="00BE5224"/>
    <w:rsid w:val="00C70CCD"/>
    <w:rsid w:val="00C9559D"/>
    <w:rsid w:val="00CE6D45"/>
    <w:rsid w:val="00CF59A1"/>
    <w:rsid w:val="00DD61A9"/>
    <w:rsid w:val="00DE3254"/>
    <w:rsid w:val="00DF40AE"/>
    <w:rsid w:val="00DF7C44"/>
    <w:rsid w:val="00E145A2"/>
    <w:rsid w:val="00E52299"/>
    <w:rsid w:val="00E802BB"/>
    <w:rsid w:val="00ED0516"/>
    <w:rsid w:val="00F17052"/>
    <w:rsid w:val="00F20066"/>
    <w:rsid w:val="00F427C2"/>
    <w:rsid w:val="00F9110A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D68B6"/>
  <w15:chartTrackingRefBased/>
  <w15:docId w15:val="{22C363DE-07DE-4059-AF53-DC517CB4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extenormalbleum11">
    <w:name w:val="textenormalbleum11"/>
    <w:basedOn w:val="Policepardfaut"/>
  </w:style>
  <w:style w:type="character" w:customStyle="1" w:styleId="employeur">
    <w:name w:val="employeur"/>
    <w:basedOn w:val="Policepardfaut"/>
  </w:style>
  <w:style w:type="paragraph" w:styleId="Retraitcorpsdetexte">
    <w:name w:val="Body Text Indent"/>
    <w:basedOn w:val="Normal"/>
    <w:semiHidden/>
    <w:pPr>
      <w:ind w:left="851" w:hanging="284"/>
    </w:pPr>
    <w:rPr>
      <w:rFonts w:ascii="Comic Sans MS" w:hAnsi="Comic Sans MS"/>
      <w:sz w:val="20"/>
      <w:szCs w:val="20"/>
    </w:rPr>
  </w:style>
  <w:style w:type="paragraph" w:styleId="Retraitcorpsdetexte2">
    <w:name w:val="Body Text Indent 2"/>
    <w:basedOn w:val="Normal"/>
    <w:semiHidden/>
    <w:pPr>
      <w:ind w:left="567"/>
    </w:pPr>
    <w:rPr>
      <w:rFonts w:ascii="Comic Sans MS" w:hAnsi="Comic Sans MS"/>
      <w:sz w:val="20"/>
      <w:szCs w:val="20"/>
    </w:rPr>
  </w:style>
  <w:style w:type="character" w:customStyle="1" w:styleId="Titre7Car">
    <w:name w:val="Titre 7 Car"/>
    <w:semiHidden/>
    <w:rPr>
      <w:rFonts w:ascii="Calibri" w:eastAsia="Times New Roman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1299"/>
    <w:pPr>
      <w:ind w:left="720"/>
    </w:pPr>
    <w:rPr>
      <w:rFonts w:ascii="Calibri" w:eastAsia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964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646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964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646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B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F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5</cp:revision>
  <cp:lastPrinted>2013-07-19T12:20:00Z</cp:lastPrinted>
  <dcterms:created xsi:type="dcterms:W3CDTF">2024-02-09T07:17:00Z</dcterms:created>
  <dcterms:modified xsi:type="dcterms:W3CDTF">2024-11-12T08:23:00Z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000800aa000000000000010262610207f74006b004c800</vt:lpwstr>
  </property>
</Properties>
</file>